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Style w:val="11"/>
          <w:rFonts w:ascii="仿宋" w:hAnsi="仿宋" w:eastAsia="仿宋"/>
          <w:kern w:val="2"/>
          <w:sz w:val="32"/>
          <w:szCs w:val="32"/>
        </w:rPr>
      </w:pPr>
      <w:bookmarkStart w:id="0" w:name="_Toc16727398"/>
      <w:bookmarkStart w:id="1" w:name="_Toc434678182"/>
      <w:bookmarkStart w:id="2" w:name="_Toc45630630"/>
      <w:r>
        <w:rPr>
          <w:rFonts w:hint="eastAsia" w:ascii="宋体" w:hAnsi="宋体" w:cs="宋体"/>
          <w:kern w:val="2"/>
          <w:sz w:val="32"/>
          <w:szCs w:val="32"/>
        </w:rPr>
        <w:t xml:space="preserve">第三章 </w:t>
      </w:r>
      <w:bookmarkStart w:id="3" w:name="_Toc25783"/>
      <w:bookmarkStart w:id="4" w:name="_Toc22573_WPSOffice_Level1"/>
      <w:r>
        <w:rPr>
          <w:rFonts w:hint="eastAsia" w:ascii="宋体" w:hAnsi="宋体" w:cs="宋体"/>
          <w:kern w:val="2"/>
          <w:sz w:val="32"/>
          <w:szCs w:val="32"/>
        </w:rPr>
        <w:t xml:space="preserve"> </w:t>
      </w:r>
      <w:bookmarkEnd w:id="0"/>
      <w:bookmarkEnd w:id="1"/>
      <w:bookmarkEnd w:id="3"/>
      <w:bookmarkEnd w:id="4"/>
      <w:r>
        <w:rPr>
          <w:rFonts w:hint="eastAsia" w:ascii="宋体" w:hAnsi="宋体" w:cs="宋体"/>
          <w:kern w:val="2"/>
          <w:sz w:val="32"/>
          <w:szCs w:val="32"/>
        </w:rPr>
        <w:t>采购需求</w:t>
      </w:r>
      <w:bookmarkEnd w:id="2"/>
    </w:p>
    <w:p>
      <w:pPr>
        <w:adjustRightInd w:val="0"/>
        <w:snapToGrid w:val="0"/>
        <w:spacing w:before="120" w:beforeLines="50" w:after="120" w:afterLines="50" w:line="440" w:lineRule="exact"/>
        <w:rPr>
          <w:rFonts w:ascii="宋体" w:hAnsi="宋体" w:cs="宋体"/>
          <w:b/>
          <w:bCs/>
        </w:rPr>
      </w:pPr>
      <w:r>
        <w:rPr>
          <w:rFonts w:hint="eastAsia" w:ascii="宋体" w:hAnsi="宋体" w:cs="黑体"/>
        </w:rPr>
        <w:t>一、</w:t>
      </w:r>
      <w:r>
        <w:rPr>
          <w:rFonts w:hint="eastAsia" w:ascii="宋体" w:hAnsi="宋体" w:cs="宋体"/>
          <w:b/>
          <w:bCs/>
        </w:rPr>
        <w:t>项目</w:t>
      </w:r>
      <w:bookmarkStart w:id="5" w:name="_Toc216833740"/>
      <w:bookmarkStart w:id="6" w:name="_Toc275954507"/>
      <w:bookmarkStart w:id="7" w:name="_Toc236480817"/>
      <w:bookmarkStart w:id="8" w:name="_Toc236480760"/>
      <w:bookmarkStart w:id="9" w:name="_Toc212530287"/>
      <w:bookmarkStart w:id="10" w:name="_Toc212456179"/>
      <w:bookmarkStart w:id="11" w:name="_Toc217720612"/>
      <w:bookmarkStart w:id="12" w:name="_Toc275871493"/>
      <w:bookmarkStart w:id="13" w:name="_Toc212526115"/>
      <w:bookmarkStart w:id="14" w:name="_Toc275871428"/>
      <w:bookmarkStart w:id="15" w:name="_Toc236131294"/>
      <w:bookmarkStart w:id="16" w:name="_Toc217720115"/>
      <w:bookmarkStart w:id="17" w:name="_Toc212454786"/>
      <w:bookmarkStart w:id="18" w:name="_Toc275770740"/>
      <w:bookmarkStart w:id="19" w:name="_Toc87515263"/>
      <w:bookmarkStart w:id="20" w:name="_Toc236131359"/>
      <w:r>
        <w:rPr>
          <w:rFonts w:hint="eastAsia" w:ascii="宋体" w:hAnsi="宋体" w:cs="宋体"/>
          <w:b/>
          <w:bCs/>
        </w:rPr>
        <w:t>简介</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Pr>
        <w:snapToGrid w:val="0"/>
        <w:spacing w:line="500" w:lineRule="exact"/>
        <w:ind w:firstLine="720" w:firstLineChars="300"/>
        <w:rPr>
          <w:rFonts w:ascii="宋体" w:hAnsi="宋体" w:cs="宋体"/>
          <w:bCs/>
        </w:rPr>
      </w:pPr>
      <w:r>
        <w:rPr>
          <w:rFonts w:hint="eastAsia" w:ascii="宋体" w:hAnsi="宋体" w:cs="宋体"/>
          <w:bCs/>
        </w:rPr>
        <w:t>1、项目名称：热带作物国重楼实验室建设项目</w:t>
      </w:r>
    </w:p>
    <w:p>
      <w:pPr>
        <w:snapToGrid w:val="0"/>
        <w:spacing w:line="500" w:lineRule="exact"/>
        <w:ind w:firstLine="710" w:firstLineChars="296"/>
        <w:rPr>
          <w:rFonts w:ascii="宋体" w:hAnsi="宋体" w:cs="宋体"/>
          <w:bCs/>
          <w:color w:val="FF0000"/>
        </w:rPr>
      </w:pPr>
      <w:r>
        <w:rPr>
          <w:rFonts w:hint="eastAsia" w:ascii="宋体" w:hAnsi="宋体" w:cs="宋体"/>
          <w:bCs/>
        </w:rPr>
        <w:t>2、项目编号：</w:t>
      </w:r>
      <w:r>
        <w:rPr>
          <w:rFonts w:hint="eastAsia" w:ascii="宋体" w:hAnsi="宋体" w:cs="宋体"/>
          <w:bCs/>
          <w:color w:val="auto"/>
        </w:rPr>
        <w:t>HD2022-1-053</w:t>
      </w:r>
    </w:p>
    <w:p>
      <w:pPr>
        <w:snapToGrid w:val="0"/>
        <w:spacing w:line="500" w:lineRule="exact"/>
        <w:ind w:firstLine="710" w:firstLineChars="296"/>
        <w:rPr>
          <w:rFonts w:ascii="宋体" w:hAnsi="宋体" w:cs="宋体"/>
          <w:bCs/>
        </w:rPr>
      </w:pPr>
      <w:r>
        <w:rPr>
          <w:rFonts w:hint="eastAsia" w:ascii="宋体" w:hAnsi="宋体" w:cs="宋体"/>
          <w:bCs/>
        </w:rPr>
        <w:t>3、项目</w:t>
      </w:r>
      <w:r>
        <w:rPr>
          <w:rFonts w:hint="eastAsia" w:ascii="宋体" w:hAnsi="宋体" w:cs="宋体"/>
          <w:bCs/>
          <w:lang w:val="en-GB"/>
        </w:rPr>
        <w:t>预算金额</w:t>
      </w:r>
      <w:r>
        <w:rPr>
          <w:rFonts w:hint="eastAsia" w:ascii="宋体" w:hAnsi="宋体" w:cs="宋体"/>
          <w:bCs/>
        </w:rPr>
        <w:t>：314.2万元</w:t>
      </w:r>
    </w:p>
    <w:p>
      <w:pPr>
        <w:snapToGrid w:val="0"/>
        <w:spacing w:line="500" w:lineRule="exact"/>
        <w:ind w:firstLine="710" w:firstLineChars="296"/>
        <w:rPr>
          <w:rFonts w:ascii="宋体" w:hAnsi="宋体" w:cs="宋体"/>
          <w:bCs/>
          <w:highlight w:val="none"/>
        </w:rPr>
      </w:pPr>
      <w:r>
        <w:rPr>
          <w:rFonts w:hint="eastAsia" w:ascii="宋体" w:hAnsi="宋体" w:cs="宋体"/>
          <w:bCs/>
          <w:highlight w:val="none"/>
        </w:rPr>
        <w:t>4、合同履行期限：</w:t>
      </w:r>
      <w:r>
        <w:rPr>
          <w:rFonts w:hint="eastAsia" w:ascii="宋体" w:hAnsi="宋体"/>
          <w:highlight w:val="none"/>
        </w:rPr>
        <w:t>自合同签订之日起</w:t>
      </w:r>
      <w:r>
        <w:rPr>
          <w:rFonts w:ascii="宋体" w:hAnsi="宋体"/>
          <w:highlight w:val="none"/>
        </w:rPr>
        <w:t>40</w:t>
      </w:r>
      <w:r>
        <w:rPr>
          <w:rFonts w:hint="eastAsia" w:ascii="宋体" w:hAnsi="宋体"/>
          <w:highlight w:val="none"/>
        </w:rPr>
        <w:t>天内到货完成安装调试。</w:t>
      </w:r>
    </w:p>
    <w:p>
      <w:pPr>
        <w:snapToGrid w:val="0"/>
        <w:spacing w:line="500" w:lineRule="exact"/>
        <w:ind w:firstLine="710" w:firstLineChars="296"/>
        <w:rPr>
          <w:rFonts w:ascii="宋体" w:hAnsi="宋体" w:cs="宋体"/>
          <w:bCs/>
        </w:rPr>
      </w:pPr>
      <w:r>
        <w:rPr>
          <w:rFonts w:hint="eastAsia" w:ascii="宋体" w:hAnsi="宋体" w:cs="宋体"/>
          <w:bCs/>
        </w:rPr>
        <w:t>5、交付使用地点：采购人指定。</w:t>
      </w:r>
    </w:p>
    <w:p>
      <w:pPr>
        <w:snapToGrid w:val="0"/>
        <w:spacing w:line="500" w:lineRule="exact"/>
        <w:ind w:firstLine="710" w:firstLineChars="296"/>
        <w:rPr>
          <w:rFonts w:ascii="宋体" w:hAnsi="宋体" w:cs="宋体"/>
          <w:b/>
          <w:bCs/>
        </w:rPr>
      </w:pPr>
      <w:r>
        <w:rPr>
          <w:rFonts w:hint="eastAsia" w:ascii="宋体" w:hAnsi="宋体" w:cs="宋体"/>
          <w:bCs/>
        </w:rPr>
        <w:t>6、验收要求：按招标文件、中标人投标文件技术参数及采购合同进行验收。</w:t>
      </w:r>
    </w:p>
    <w:p>
      <w:pPr>
        <w:adjustRightInd w:val="0"/>
        <w:snapToGrid w:val="0"/>
        <w:spacing w:before="120" w:beforeLines="50" w:after="120" w:afterLines="50" w:line="440" w:lineRule="exact"/>
        <w:rPr>
          <w:rFonts w:ascii="宋体" w:hAnsi="宋体" w:cs="宋体"/>
          <w:b/>
          <w:bCs/>
        </w:rPr>
      </w:pPr>
      <w:r>
        <w:rPr>
          <w:rFonts w:hint="eastAsia" w:ascii="宋体" w:hAnsi="宋体" w:cs="宋体"/>
          <w:b/>
          <w:bCs/>
        </w:rPr>
        <w:t>二、采购清单</w:t>
      </w:r>
    </w:p>
    <w:p>
      <w:r>
        <w:rPr>
          <w:rFonts w:hint="eastAsia" w:ascii="宋体" w:hAnsi="宋体" w:cs="宋体"/>
          <w:b/>
          <w:bCs/>
          <w:kern w:val="0"/>
          <w:lang w:bidi="ar"/>
        </w:rPr>
        <w:t>（一）、设计依据和总计设计概述</w:t>
      </w:r>
    </w:p>
    <w:p>
      <w:pPr>
        <w:pStyle w:val="5"/>
        <w:numPr>
          <w:ilvl w:val="2"/>
          <w:numId w:val="0"/>
        </w:numPr>
        <w:tabs>
          <w:tab w:val="left" w:pos="425"/>
          <w:tab w:val="left" w:pos="1505"/>
        </w:tabs>
        <w:ind w:left="402" w:right="62"/>
        <w:outlineLvl w:val="3"/>
        <w:rPr>
          <w:rFonts w:ascii="宋体" w:hAnsi="宋体" w:cs="宋体"/>
          <w:b/>
          <w:bCs/>
          <w:kern w:val="21"/>
          <w:szCs w:val="21"/>
        </w:rPr>
      </w:pPr>
      <w:r>
        <w:rPr>
          <w:rFonts w:hint="eastAsia" w:ascii="宋体" w:hAnsi="宋体" w:cs="宋体"/>
          <w:b/>
          <w:bCs/>
          <w:kern w:val="21"/>
          <w:szCs w:val="21"/>
        </w:rPr>
        <w:t>1、设计依据:</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GB 50235-2010 《工业金属管道工程施工规范》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SH3501-2011《石油化工有毒、可燃介质钢制管道工程施工及验收规范》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GB 50231-2009《机械设备安装工程施工及验收通用规范》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GB 50236-2011《现场设备、工业管道焊接工程施工及验收规范》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GB 50093-2002《工业自动化仪表工程施工及验收规范》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 xml:space="preserve">GB50300-2013《建筑工程施工质量验收统一标准》 </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GB50016-2014《建筑设计防火规范》</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JGJ91-93  《科学实验建筑设计规范》</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GBJ131-90       《自动化仪表安装工程施工及验收规范》</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GB 50447-2008   《实验动物设施建筑技术规范》</w:t>
      </w:r>
    </w:p>
    <w:p>
      <w:pPr>
        <w:pStyle w:val="5"/>
        <w:numPr>
          <w:ilvl w:val="2"/>
          <w:numId w:val="0"/>
        </w:numPr>
        <w:tabs>
          <w:tab w:val="left" w:pos="425"/>
          <w:tab w:val="left" w:pos="1505"/>
        </w:tabs>
        <w:spacing w:after="0"/>
        <w:ind w:left="403" w:right="62"/>
        <w:rPr>
          <w:rFonts w:ascii="宋体" w:hAnsi="宋体" w:cs="宋体"/>
          <w:kern w:val="21"/>
          <w:szCs w:val="21"/>
        </w:rPr>
      </w:pPr>
      <w:r>
        <w:rPr>
          <w:rFonts w:hint="eastAsia" w:ascii="宋体" w:hAnsi="宋体" w:cs="宋体"/>
          <w:kern w:val="21"/>
          <w:szCs w:val="21"/>
        </w:rPr>
        <w:t>试验室现有条件要求及其它相应标准规范。</w:t>
      </w:r>
    </w:p>
    <w:p>
      <w:pPr>
        <w:pStyle w:val="5"/>
        <w:numPr>
          <w:ilvl w:val="2"/>
          <w:numId w:val="0"/>
        </w:numPr>
        <w:tabs>
          <w:tab w:val="left" w:pos="425"/>
          <w:tab w:val="left" w:pos="1505"/>
        </w:tabs>
        <w:spacing w:after="0"/>
        <w:ind w:left="400" w:right="60"/>
        <w:outlineLvl w:val="3"/>
        <w:rPr>
          <w:rFonts w:ascii="宋体" w:hAnsi="宋体" w:cs="宋体"/>
          <w:b/>
          <w:bCs/>
          <w:kern w:val="21"/>
          <w:szCs w:val="21"/>
        </w:rPr>
      </w:pPr>
      <w:r>
        <w:rPr>
          <w:rFonts w:hint="eastAsia" w:ascii="宋体" w:hAnsi="宋体" w:cs="宋体"/>
          <w:b/>
          <w:bCs/>
          <w:kern w:val="21"/>
          <w:szCs w:val="21"/>
        </w:rPr>
        <w:t>2、总体设计概述</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(1）本项目中，为了完成试验功能，采用集中供气，每个实验室根据实验用气需求把气瓶统一放置在防爆小屋内。通过管路引入到仪器中。仪器台气体管路使用直管经功能柱或墙面铺设到实验台上，在功能柱上或墙面上安装控制减压阀。所有的气体管路在工作台上配备控制阀门，便于实验人员的控制。</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(2）气路控制系统</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 xml:space="preserve">工作范围： </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 xml:space="preserve">实验室气体管路供气系统工程包括气体管路的设计、施工、调试、验收和维护保养等方面的内容； </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气体输送系统整体深化设计（包括输送管道系统、输送设备管道布置设计、阀门选型等）；</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气体输送系统的材料采购,工程安装,内容包含支架,管道,配件,阀门等；</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气体设备供应及安装调试 （减压阀等）；</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气体输送管道检测和测试，测试项目包括：强度性测试，气密性测试，洁净度测试等；</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项目竣工资料、文件管理和系统培训；</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具体各气路使用点如下：</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用气点分布：</w:t>
      </w:r>
    </w:p>
    <w:p>
      <w:pPr>
        <w:pStyle w:val="5"/>
        <w:numPr>
          <w:ilvl w:val="2"/>
          <w:numId w:val="0"/>
        </w:numPr>
        <w:tabs>
          <w:tab w:val="left" w:pos="425"/>
          <w:tab w:val="left" w:pos="1505"/>
        </w:tabs>
        <w:spacing w:after="0"/>
        <w:ind w:left="360" w:right="60" w:firstLine="480" w:firstLineChars="200"/>
        <w:rPr>
          <w:rFonts w:ascii="宋体" w:hAnsi="宋体" w:cs="宋体"/>
          <w:kern w:val="21"/>
          <w:szCs w:val="21"/>
        </w:rPr>
      </w:pPr>
      <w:r>
        <w:rPr>
          <w:rFonts w:hint="eastAsia" w:ascii="宋体" w:hAnsi="宋体" w:cs="宋体"/>
          <w:kern w:val="21"/>
          <w:szCs w:val="21"/>
        </w:rPr>
        <w:t>详见气体管路平面图</w:t>
      </w:r>
      <w:r>
        <w:rPr>
          <w:rFonts w:hint="eastAsia" w:ascii="宋体" w:hAnsi="宋体" w:cs="宋体"/>
          <w:kern w:val="21"/>
          <w:szCs w:val="21"/>
        </w:rPr>
        <w:tab/>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本项目中钢瓶间：所有气体采用自动切换装置，实现不间断给用气管路供气，主管道采用1/4英寸不锈钢BA管，支管道采用1/4英寸不锈钢BA管，房间内用气点位置设置有二级减压器，及开关球阀。</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实验室气体管路工程主要材质为316L BA不锈钢无缝钢管，三通等采用成品配件，连接方式宜采用自动焊接。仪器台气体管路使用功能柱或墙面铺设到实验台上，同时所有的气体管路在工作台上配备合适的控制阀门，便于实验人员的控制。</w:t>
      </w:r>
    </w:p>
    <w:p>
      <w:pPr>
        <w:pStyle w:val="5"/>
        <w:numPr>
          <w:ilvl w:val="2"/>
          <w:numId w:val="0"/>
        </w:numPr>
        <w:tabs>
          <w:tab w:val="left" w:pos="425"/>
          <w:tab w:val="left" w:pos="1505"/>
        </w:tabs>
        <w:spacing w:after="0"/>
        <w:ind w:left="480" w:leftChars="200" w:right="60" w:firstLine="480" w:firstLineChars="200"/>
        <w:rPr>
          <w:rFonts w:ascii="宋体" w:hAnsi="宋体" w:cs="宋体"/>
          <w:kern w:val="21"/>
          <w:szCs w:val="21"/>
        </w:rPr>
      </w:pPr>
      <w:r>
        <w:rPr>
          <w:rFonts w:hint="eastAsia" w:ascii="宋体" w:hAnsi="宋体" w:cs="宋体"/>
          <w:kern w:val="21"/>
          <w:szCs w:val="21"/>
        </w:rPr>
        <w:t>所有管路标明连接的气体和气体的流动指向，指示标识的颜色须用国家规定对应气体颜色来区分。</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用的卡套配件承压安全值是管道的3倍，以便维修。管道切割时和切割后的洁净度处理按照UPH管道施工的标准。管道的焊接组装在10000级以上的无尘室里,带好洁净手套，首先将管的一端接通有99.999%的高纯氩气做吹扫，另一端打开，用合适的出气帽盖上让气通过,然后进行自动焊接。严禁焊接中断或调动焊接气体。为防止管道内壁产生氧化膜，可在焊接气始端安一个0.01μm～0.03μm过滤器过滤，焊接好的管路两头应用堵帽及时盖上以防微粒进入。</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对于要求单独进行压力调节的仪器，工作台上气体出口点需要安装单独的阀门来控制。</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管道穿墙及出地面（或楼板）处应设套管保护，套管穿墙处应与墙平齐，穿地面（或楼板）处套管应高出地面（或楼板）100mm。穿墙或楼板的套管根据所用管道规格进行匹配。</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用于支撑气体管路安装的所有支架都要进行防腐处理。禁止使用容易生锈的支架辅材。</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气体管路支架间隔不大于1.5米，根据内径最小的气体管路确定支撑距离。</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所有弯曲处都要分别在两侧独立进行支撑。</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管道的连接除与设备、阀门等一些必要的卡套连接外，所有气体均采用全自动数码无缝焊接连接。外径大于等于3/4"的管道转弯采用成品的焊接弯头，小于3/4"的则采用弯管器机械来执行。</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所有管路沿天花板上方布设，若无天花板，则沿楼板下方铺设，进入实验室通过功能柱连接到中央仪器台，控制阀和减压器安装在功能柱内或墙壁上，便于维修人员的检查和维修。</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在管道的行进路线中，每隔1.5米应设置一组管夹，管道固定件（管夹）应采用耐高温材料，坚固，轻巧，耐用。</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不锈钢管的安装现场应整洁干净。安装人员必须戴洁净手套。</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用于支撑气体管路安装的所有支架都要进行防腐处理。表面采用热度锌处理，禁止使用容易生锈的支架辅材。不锈钢管的支架材质、型号规格和设置距离，按设计图纸规定和要求执行。管卡环必须套上聚乙烯管。不锈钢管与支架之间应填3-4mm的聚乙烯板。</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 xml:space="preserve">不锈钢管采用微处理控制TIG电源和全封闭式焊头进行的全自动焊，焊接质量要求如： </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的焊接两管端必须垂直于管中心轴线；端面平整光滑、无毛刺；对口不得有间隙；应无错边。即使有错边：直径等于和小于2英寸的不锈钢管，错边量不得超过管壁厚度的10%；直径大于2英寸的不锈钢管，错边量不得超过管壁厚度的15%。</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不锈钢管的焊接质量为自熔全焊透焊缝，管内外焊缝平整光滑，焊波整齐美观。</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焊缝如有凹凸部分，最多不准超过管壁厚度的10%。</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不锈钢管焊焊缝应焊趾整齐，焊波均匀，焊缝宽度一致，焊缝如有宽窄，应不超过±0.008英寸（即：±0.2mm）。管内焊缝表面宽度为外缝表面宽度的60%左右。</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不锈钢管内焊缝及热影响区不应有氧化变色。</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不锈钢管内、外焊缝表面不准有气孔、裂纹等任何焊接缺陷。</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不锈钢管焊缝的波纹圆弧线清楚，内外焊缝平整光滑。</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管道铺设时，应注意平直，弯管处采用专用弯管器，不得徒手弯曲，切断管道时，应采用专用切管器操作，严禁用锯子锯断管道。管道切断后，应用专用工具处理断口处毛刺。</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所有螺纹连接处应采用密封带密封。</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施工过程中，所有不锈钢管道两端用塑料盖密封，外部有塑料套密封，在进入施工现场后，安装前，方可将塑料套拆封，并除去塑料盖。所有管件在安装进系统前，应用高纯氮气(99.999%)进行三遍以上的吹扫。管道铺设时，采用专用弯管器和专用切管器操作。管道切断后，应用专用工具处理断口。管道穿墙及穿地板时，应设置套管。所有螺纹连接处应采用密封带密封，保证更好的密封性。</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在整个施工过程中，应注意施工安全，严格遵守甲方的安全规章并服从管理。</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所有调节阀固定面板、所有出口点控制面板及所有管道上，都应贴设标有对应气体的成分的气体标头。</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所有系统部件安装完毕后，应用99.99%的高纯氮气进行吹扫，吹扫时边敲打管壁，让管内壁粉尘颗粒脱落，以保证系统内部清洁。</w:t>
      </w:r>
    </w:p>
    <w:p>
      <w:pPr>
        <w:pStyle w:val="5"/>
        <w:numPr>
          <w:ilvl w:val="2"/>
          <w:numId w:val="0"/>
        </w:numPr>
        <w:tabs>
          <w:tab w:val="left" w:pos="425"/>
          <w:tab w:val="left" w:pos="1505"/>
        </w:tabs>
        <w:spacing w:after="0"/>
        <w:ind w:left="400" w:right="60" w:firstLine="480" w:firstLineChars="200"/>
      </w:pPr>
      <w:r>
        <w:rPr>
          <w:rFonts w:hint="eastAsia" w:ascii="宋体" w:hAnsi="宋体" w:cs="宋体"/>
          <w:kern w:val="21"/>
          <w:szCs w:val="21"/>
        </w:rPr>
        <w:t>所有系统部件安装完毕后，应用高纯氮气进行三遍以上的吹扫。</w:t>
      </w:r>
    </w:p>
    <w:p>
      <w:r>
        <w:rPr>
          <w:rFonts w:hint="eastAsia" w:ascii="宋体" w:hAnsi="宋体" w:cs="宋体"/>
          <w:b/>
          <w:bCs/>
          <w:kern w:val="0"/>
          <w:lang w:bidi="ar"/>
        </w:rPr>
        <w:t>（二）设备技术参数及材质要求</w:t>
      </w:r>
    </w:p>
    <w:p>
      <w:pPr>
        <w:spacing w:line="420" w:lineRule="exact"/>
        <w:ind w:firstLine="482" w:firstLineChars="200"/>
        <w:rPr>
          <w:rFonts w:ascii="宋体" w:hAnsi="宋体" w:cs="宋体"/>
          <w:b/>
          <w:bCs/>
        </w:rPr>
      </w:pPr>
      <w:r>
        <w:rPr>
          <w:rFonts w:ascii="宋体" w:hAnsi="宋体" w:cs="宋体"/>
          <w:b/>
          <w:bCs/>
        </w:rPr>
        <w:t xml:space="preserve">1. </w:t>
      </w:r>
      <w:r>
        <w:rPr>
          <w:rFonts w:hint="eastAsia" w:ascii="宋体" w:hAnsi="宋体" w:cs="宋体"/>
          <w:b/>
          <w:bCs/>
        </w:rPr>
        <w:t>气路系统、设备清单部分</w:t>
      </w:r>
    </w:p>
    <w:tbl>
      <w:tblPr>
        <w:tblStyle w:val="9"/>
        <w:tblW w:w="89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8"/>
        <w:gridCol w:w="1815"/>
        <w:gridCol w:w="4805"/>
        <w:gridCol w:w="854"/>
        <w:gridCol w:w="7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noWrap w:val="0"/>
            <w:vAlign w:val="center"/>
          </w:tcPr>
          <w:p>
            <w:pPr>
              <w:spacing w:line="20" w:lineRule="atLeast"/>
              <w:jc w:val="center"/>
              <w:rPr>
                <w:rFonts w:ascii="宋体" w:hAnsi="宋体" w:cs="宋体"/>
                <w:szCs w:val="21"/>
              </w:rPr>
            </w:pPr>
            <w:bookmarkStart w:id="21" w:name="_Hlk114419338"/>
            <w:r>
              <w:rPr>
                <w:rFonts w:hint="eastAsia" w:ascii="宋体" w:hAnsi="宋体" w:cs="宋体"/>
                <w:szCs w:val="21"/>
              </w:rPr>
              <w:t>序号</w:t>
            </w: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名称</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规格参数</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单位</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967" w:type="dxa"/>
            <w:gridSpan w:val="5"/>
            <w:noWrap w:val="0"/>
            <w:vAlign w:val="center"/>
          </w:tcPr>
          <w:p>
            <w:pPr>
              <w:spacing w:line="20" w:lineRule="atLeast"/>
              <w:ind w:firstLine="241" w:firstLineChars="100"/>
              <w:rPr>
                <w:rFonts w:ascii="宋体" w:hAnsi="宋体" w:cs="宋体"/>
                <w:szCs w:val="21"/>
              </w:rPr>
            </w:pPr>
            <w:r>
              <w:rPr>
                <w:rFonts w:hint="eastAsia" w:ascii="宋体" w:hAnsi="宋体" w:cs="宋体"/>
                <w:b/>
                <w:bCs/>
                <w:szCs w:val="21"/>
              </w:rPr>
              <w:t>气路系统设备I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restart"/>
            <w:noWrap w:val="0"/>
            <w:vAlign w:val="center"/>
          </w:tcPr>
          <w:p>
            <w:pPr>
              <w:jc w:val="center"/>
              <w:textAlignment w:val="bottom"/>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w:t>
            </w: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高压软管</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进口气螺纹 1/4"NPT(F)</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根</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外丝光杆</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1/4"NPT*1/4"</w:t>
            </w:r>
          </w:p>
        </w:tc>
        <w:tc>
          <w:tcPr>
            <w:tcW w:w="854" w:type="dxa"/>
            <w:noWrap w:val="0"/>
            <w:vAlign w:val="center"/>
          </w:tcPr>
          <w:p>
            <w:pPr>
              <w:spacing w:line="20" w:lineRule="atLeast"/>
              <w:jc w:val="center"/>
              <w:rPr>
                <w:rFonts w:hint="eastAsia"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转换接头</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1/4"NPT*1/2"</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转换接头</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1/4"NPT*1/4"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862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主控球阀</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1/2"</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阻火阀</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1/2"</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阻火阀</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jc w:val="center"/>
              <w:textAlignment w:val="bottom"/>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球阀</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540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jc w:val="center"/>
        </w:trPr>
        <w:tc>
          <w:tcPr>
            <w:tcW w:w="728" w:type="dxa"/>
            <w:vMerge w:val="continue"/>
            <w:noWrap w:val="0"/>
            <w:vAlign w:val="center"/>
          </w:tcPr>
          <w:p>
            <w:pPr>
              <w:jc w:val="center"/>
              <w:textAlignment w:val="bottom"/>
              <w:rPr>
                <w:rFonts w:ascii="宋体" w:hAnsi="宋体" w:cs="宋体"/>
                <w:szCs w:val="21"/>
              </w:rPr>
            </w:pPr>
          </w:p>
        </w:tc>
        <w:tc>
          <w:tcPr>
            <w:tcW w:w="1815" w:type="dxa"/>
            <w:tcBorders>
              <w:bottom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二级减压阀组</w:t>
            </w:r>
          </w:p>
        </w:tc>
        <w:tc>
          <w:tcPr>
            <w:tcW w:w="4805" w:type="dxa"/>
            <w:tcBorders>
              <w:bottom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规格：1/4〞、进口最大压力：10MPa、出口压力调节范围：0-1MPa 可调,哈斯合金膜片 c276</w:t>
            </w:r>
          </w:p>
        </w:tc>
        <w:tc>
          <w:tcPr>
            <w:tcW w:w="854" w:type="dxa"/>
            <w:tcBorders>
              <w:bottom w:val="single" w:color="auto" w:sz="4" w:space="0"/>
            </w:tcBorders>
            <w:noWrap w:val="0"/>
            <w:vAlign w:val="center"/>
          </w:tcPr>
          <w:p>
            <w:pPr>
              <w:spacing w:line="20" w:lineRule="atLeast"/>
              <w:jc w:val="center"/>
              <w:rPr>
                <w:rFonts w:ascii="宋体" w:hAnsi="宋体" w:cs="宋体"/>
                <w:szCs w:val="21"/>
              </w:rPr>
            </w:pPr>
          </w:p>
          <w:p>
            <w:pPr>
              <w:spacing w:line="20" w:lineRule="atLeast"/>
              <w:jc w:val="center"/>
              <w:rPr>
                <w:rFonts w:ascii="宋体" w:hAnsi="宋体" w:cs="宋体"/>
                <w:szCs w:val="21"/>
              </w:rPr>
            </w:pPr>
            <w:r>
              <w:rPr>
                <w:rFonts w:hint="eastAsia" w:ascii="宋体" w:hAnsi="宋体" w:cs="宋体"/>
                <w:szCs w:val="21"/>
              </w:rPr>
              <w:t>套</w:t>
            </w:r>
          </w:p>
        </w:tc>
        <w:tc>
          <w:tcPr>
            <w:tcW w:w="765" w:type="dxa"/>
            <w:tcBorders>
              <w:bottom w:val="single" w:color="auto" w:sz="4" w:space="0"/>
            </w:tcBorders>
            <w:noWrap w:val="0"/>
            <w:vAlign w:val="center"/>
          </w:tcPr>
          <w:p>
            <w:pPr>
              <w:spacing w:line="20" w:lineRule="atLeast"/>
              <w:jc w:val="center"/>
              <w:rPr>
                <w:rFonts w:ascii="宋体" w:hAnsi="宋体" w:cs="宋体"/>
                <w:szCs w:val="21"/>
              </w:rPr>
            </w:pPr>
          </w:p>
          <w:p>
            <w:pPr>
              <w:spacing w:line="20" w:lineRule="atLeast"/>
              <w:jc w:val="center"/>
              <w:rPr>
                <w:rFonts w:ascii="宋体" w:hAnsi="宋体" w:cs="宋体"/>
                <w:szCs w:val="21"/>
              </w:rPr>
            </w:pPr>
            <w:r>
              <w:rPr>
                <w:rFonts w:hint="eastAsia" w:ascii="宋体" w:hAnsi="宋体" w:cs="宋体"/>
                <w:szCs w:val="21"/>
              </w:rPr>
              <w:t>4</w:t>
            </w:r>
            <w:r>
              <w:rPr>
                <w:rFonts w:ascii="宋体" w:hAnsi="宋体" w:cs="宋体"/>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728" w:type="dxa"/>
            <w:vMerge w:val="continue"/>
            <w:noWrap w:val="0"/>
            <w:vAlign w:val="center"/>
          </w:tcPr>
          <w:p>
            <w:pPr>
              <w:jc w:val="center"/>
              <w:textAlignment w:val="bottom"/>
              <w:rPr>
                <w:rFonts w:ascii="宋体" w:hAnsi="宋体" w:cs="宋体"/>
                <w:color w:val="000000"/>
                <w:kern w:val="0"/>
                <w:szCs w:val="21"/>
                <w:lang w:bidi="ar"/>
              </w:rPr>
            </w:pPr>
          </w:p>
        </w:tc>
        <w:tc>
          <w:tcPr>
            <w:tcW w:w="1815" w:type="dxa"/>
            <w:tcBorders>
              <w:top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二级减压阀</w:t>
            </w:r>
          </w:p>
        </w:tc>
        <w:tc>
          <w:tcPr>
            <w:tcW w:w="4805" w:type="dxa"/>
            <w:tcBorders>
              <w:top w:val="single" w:color="auto" w:sz="4" w:space="0"/>
            </w:tcBorders>
            <w:noWrap w:val="0"/>
            <w:vAlign w:val="center"/>
          </w:tcPr>
          <w:p>
            <w:pPr>
              <w:pStyle w:val="2"/>
              <w:spacing w:line="300" w:lineRule="exact"/>
              <w:rPr>
                <w:rFonts w:ascii="宋体" w:hAnsi="宋体" w:cs="宋体"/>
                <w:szCs w:val="21"/>
              </w:rPr>
            </w:pPr>
            <w:r>
              <w:rPr>
                <w:rFonts w:hint="eastAsia" w:ascii="宋体" w:hAnsi="宋体" w:cs="宋体"/>
                <w:szCs w:val="21"/>
              </w:rPr>
              <w:t>材质：316</w:t>
            </w:r>
            <w:r>
              <w:rPr>
                <w:rFonts w:ascii="宋体" w:hAnsi="宋体" w:cs="宋体"/>
                <w:szCs w:val="21"/>
              </w:rPr>
              <w:t>L</w:t>
            </w:r>
            <w:r>
              <w:rPr>
                <w:rFonts w:hint="eastAsia" w:ascii="宋体" w:hAnsi="宋体" w:cs="宋体"/>
                <w:szCs w:val="21"/>
              </w:rPr>
              <w:t>、规格：1/4〞、进口最大压力：10MPa、出口压力调节范围：0-1MPa可调,哈斯合金膜片c276</w:t>
            </w:r>
          </w:p>
        </w:tc>
        <w:tc>
          <w:tcPr>
            <w:tcW w:w="854" w:type="dxa"/>
            <w:tcBorders>
              <w:top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套</w:t>
            </w:r>
          </w:p>
        </w:tc>
        <w:tc>
          <w:tcPr>
            <w:tcW w:w="765" w:type="dxa"/>
            <w:tcBorders>
              <w:top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5</w:t>
            </w:r>
            <w:r>
              <w:rPr>
                <w:rFonts w:ascii="宋体" w:hAnsi="宋体" w:cs="宋体"/>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967" w:type="dxa"/>
            <w:gridSpan w:val="5"/>
            <w:noWrap w:val="0"/>
            <w:vAlign w:val="bottom"/>
          </w:tcPr>
          <w:p>
            <w:pPr>
              <w:widowControl/>
              <w:ind w:firstLine="241" w:firstLineChars="100"/>
              <w:jc w:val="both"/>
              <w:textAlignment w:val="bottom"/>
              <w:rPr>
                <w:rFonts w:ascii="宋体" w:hAnsi="宋体" w:cs="宋体"/>
                <w:szCs w:val="21"/>
              </w:rPr>
            </w:pPr>
            <w:r>
              <w:rPr>
                <w:rFonts w:hint="eastAsia" w:ascii="宋体" w:hAnsi="宋体" w:cs="宋体"/>
                <w:b/>
                <w:bCs/>
                <w:kern w:val="0"/>
                <w:szCs w:val="21"/>
                <w:lang w:bidi="ar"/>
              </w:rPr>
              <w:t>气路系统设备I</w:t>
            </w:r>
            <w:r>
              <w:rPr>
                <w:rFonts w:ascii="宋体" w:hAnsi="宋体" w:cs="宋体"/>
                <w:b/>
                <w:bCs/>
                <w:kern w:val="0"/>
                <w:szCs w:val="21"/>
                <w:lang w:bidi="ar"/>
              </w:rPr>
              <w:t>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restart"/>
            <w:noWrap w:val="0"/>
            <w:vAlign w:val="center"/>
          </w:tcPr>
          <w:p>
            <w:pPr>
              <w:spacing w:line="20" w:lineRule="atLeast"/>
              <w:jc w:val="center"/>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二级面板</w:t>
            </w:r>
          </w:p>
        </w:tc>
        <w:tc>
          <w:tcPr>
            <w:tcW w:w="4805" w:type="dxa"/>
            <w:noWrap w:val="0"/>
            <w:vAlign w:val="center"/>
          </w:tcPr>
          <w:p>
            <w:pPr>
              <w:spacing w:line="20" w:lineRule="atLeast"/>
              <w:jc w:val="center"/>
              <w:rPr>
                <w:rFonts w:ascii="宋体" w:hAnsi="宋体" w:cs="宋体"/>
                <w:szCs w:val="21"/>
              </w:rPr>
            </w:pP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焊接三通</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规格：1/2"*1/4"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焊接三通</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规格：1/4"*1/4"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焊接变径</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规格：1/2"*1/4"</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154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终端接头</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规格：根据实际设备接口而定</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一氧化碳浓度报警</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响应时间：电化学式 T90＜60s</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套</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管子</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1/2"BA</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米</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820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管子</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1/4"BA</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米</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管道</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规格：1/4"</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米</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4680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管道</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规格：1/2"</w:t>
            </w:r>
          </w:p>
        </w:tc>
        <w:tc>
          <w:tcPr>
            <w:tcW w:w="854" w:type="dxa"/>
            <w:noWrap w:val="0"/>
            <w:vAlign w:val="center"/>
          </w:tcPr>
          <w:p>
            <w:pPr>
              <w:spacing w:line="20" w:lineRule="atLeast"/>
              <w:jc w:val="center"/>
              <w:rPr>
                <w:rFonts w:ascii="宋体" w:hAnsi="宋体" w:cs="宋体"/>
                <w:szCs w:val="21"/>
              </w:rPr>
            </w:pPr>
            <w:r>
              <w:rPr>
                <w:rFonts w:hint="eastAsia" w:ascii="宋体" w:hAnsi="宋体" w:cs="宋体"/>
                <w:szCs w:val="21"/>
              </w:rPr>
              <w:t>米</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管夹</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规格：1/4"</w:t>
            </w:r>
          </w:p>
        </w:tc>
        <w:tc>
          <w:tcPr>
            <w:tcW w:w="854" w:type="dxa"/>
            <w:noWrap w:val="0"/>
            <w:vAlign w:val="center"/>
          </w:tcPr>
          <w:p>
            <w:pPr>
              <w:spacing w:line="20" w:lineRule="atLeast"/>
              <w:ind w:firstLine="240" w:firstLineChars="100"/>
              <w:rPr>
                <w:rFonts w:hint="eastAsia" w:ascii="宋体" w:hAnsi="宋体" w:cs="宋体"/>
                <w:szCs w:val="21"/>
              </w:rPr>
            </w:pPr>
            <w:r>
              <w:rPr>
                <w:rFonts w:hint="eastAsia" w:ascii="宋体" w:hAnsi="宋体" w:cs="宋体"/>
                <w:szCs w:val="21"/>
              </w:rPr>
              <w:t>项</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管夹</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规格：1/2"</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项</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noWrap w:val="0"/>
            <w:vAlign w:val="center"/>
          </w:tcPr>
          <w:p>
            <w:pPr>
              <w:spacing w:line="20" w:lineRule="atLeast"/>
              <w:jc w:val="center"/>
              <w:rPr>
                <w:rFonts w:ascii="宋体" w:hAnsi="宋体" w:cs="宋体"/>
                <w:szCs w:val="21"/>
              </w:rPr>
            </w:pPr>
            <w:r>
              <w:rPr>
                <w:rFonts w:hint="eastAsia" w:ascii="宋体" w:hAnsi="宋体" w:cs="宋体"/>
                <w:szCs w:val="21"/>
              </w:rPr>
              <w:t>导轨</w:t>
            </w:r>
          </w:p>
        </w:tc>
        <w:tc>
          <w:tcPr>
            <w:tcW w:w="4805" w:type="dxa"/>
            <w:noWrap w:val="0"/>
            <w:vAlign w:val="center"/>
          </w:tcPr>
          <w:p>
            <w:pPr>
              <w:spacing w:line="20" w:lineRule="atLeast"/>
              <w:jc w:val="center"/>
              <w:rPr>
                <w:rFonts w:ascii="宋体" w:hAnsi="宋体" w:cs="宋体"/>
                <w:szCs w:val="21"/>
              </w:rPr>
            </w:pPr>
            <w:r>
              <w:rPr>
                <w:rFonts w:hint="eastAsia" w:ascii="宋体" w:hAnsi="宋体" w:cs="宋体"/>
                <w:szCs w:val="21"/>
              </w:rPr>
              <w:t>配套</w:t>
            </w:r>
          </w:p>
        </w:tc>
        <w:tc>
          <w:tcPr>
            <w:tcW w:w="854" w:type="dxa"/>
            <w:noWrap w:val="0"/>
            <w:vAlign w:val="top"/>
          </w:tcPr>
          <w:p>
            <w:pPr>
              <w:spacing w:line="20" w:lineRule="atLeast"/>
              <w:jc w:val="center"/>
              <w:rPr>
                <w:rFonts w:ascii="宋体" w:hAnsi="宋体" w:cs="宋体"/>
                <w:szCs w:val="21"/>
              </w:rPr>
            </w:pPr>
            <w:r>
              <w:rPr>
                <w:rFonts w:hint="eastAsia" w:ascii="宋体" w:hAnsi="宋体" w:cs="宋体"/>
                <w:szCs w:val="21"/>
              </w:rPr>
              <w:t>件</w:t>
            </w:r>
          </w:p>
        </w:tc>
        <w:tc>
          <w:tcPr>
            <w:tcW w:w="765" w:type="dxa"/>
            <w:noWrap w:val="0"/>
            <w:vAlign w:val="center"/>
          </w:tcPr>
          <w:p>
            <w:pPr>
              <w:spacing w:line="20" w:lineRule="atLeast"/>
              <w:jc w:val="center"/>
              <w:rPr>
                <w:rFonts w:ascii="宋体" w:hAnsi="宋体" w:cs="宋体"/>
                <w:szCs w:val="21"/>
              </w:rPr>
            </w:pPr>
            <w:r>
              <w:rPr>
                <w:rFonts w:hint="eastAsia" w:ascii="宋体" w:hAnsi="宋体" w:cs="宋体"/>
                <w:szCs w:val="21"/>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728" w:type="dxa"/>
            <w:vMerge w:val="continue"/>
            <w:noWrap w:val="0"/>
            <w:vAlign w:val="bottom"/>
          </w:tcPr>
          <w:p>
            <w:pPr>
              <w:spacing w:line="20" w:lineRule="atLeast"/>
              <w:jc w:val="center"/>
              <w:rPr>
                <w:rFonts w:ascii="宋体" w:hAnsi="宋体" w:cs="宋体"/>
                <w:szCs w:val="21"/>
              </w:rPr>
            </w:pPr>
          </w:p>
        </w:tc>
        <w:tc>
          <w:tcPr>
            <w:tcW w:w="1815" w:type="dxa"/>
            <w:tcBorders>
              <w:bottom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质量流量计</w:t>
            </w:r>
          </w:p>
        </w:tc>
        <w:tc>
          <w:tcPr>
            <w:tcW w:w="4805" w:type="dxa"/>
            <w:tcBorders>
              <w:bottom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精度±1%F.S.</w:t>
            </w:r>
          </w:p>
        </w:tc>
        <w:tc>
          <w:tcPr>
            <w:tcW w:w="854" w:type="dxa"/>
            <w:tcBorders>
              <w:bottom w:val="single" w:color="auto" w:sz="4" w:space="0"/>
            </w:tcBorders>
            <w:noWrap w:val="0"/>
            <w:vAlign w:val="center"/>
          </w:tcPr>
          <w:p>
            <w:pPr>
              <w:spacing w:line="20" w:lineRule="atLeast"/>
              <w:jc w:val="center"/>
              <w:rPr>
                <w:rFonts w:ascii="宋体" w:hAnsi="宋体" w:cs="宋体"/>
                <w:szCs w:val="21"/>
              </w:rPr>
            </w:pPr>
            <w:r>
              <w:rPr>
                <w:rFonts w:hint="eastAsia" w:ascii="宋体" w:hAnsi="宋体" w:cs="宋体"/>
                <w:szCs w:val="21"/>
              </w:rPr>
              <w:t>套</w:t>
            </w:r>
          </w:p>
        </w:tc>
        <w:tc>
          <w:tcPr>
            <w:tcW w:w="765" w:type="dxa"/>
            <w:tcBorders>
              <w:bottom w:val="single" w:color="auto" w:sz="4" w:space="0"/>
            </w:tcBorders>
            <w:noWrap w:val="0"/>
            <w:vAlign w:val="center"/>
          </w:tcPr>
          <w:p>
            <w:pPr>
              <w:spacing w:line="20" w:lineRule="atLeast"/>
              <w:jc w:val="center"/>
              <w:rPr>
                <w:rFonts w:hint="eastAsia" w:ascii="宋体" w:hAnsi="宋体" w:cs="宋体"/>
                <w:szCs w:val="21"/>
              </w:rPr>
            </w:pPr>
            <w:r>
              <w:rPr>
                <w:rFonts w:hint="eastAsia" w:ascii="宋体" w:hAnsi="宋体" w:cs="宋体"/>
                <w:szCs w:val="21"/>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728" w:type="dxa"/>
            <w:vMerge w:val="continue"/>
            <w:noWrap w:val="0"/>
            <w:vAlign w:val="bottom"/>
          </w:tcPr>
          <w:p>
            <w:pPr>
              <w:spacing w:line="20" w:lineRule="atLeast"/>
              <w:jc w:val="center"/>
              <w:rPr>
                <w:rFonts w:ascii="宋体" w:hAnsi="宋体" w:cs="宋体"/>
                <w:szCs w:val="21"/>
                <w:highlight w:val="none"/>
              </w:rPr>
            </w:pPr>
          </w:p>
        </w:tc>
        <w:tc>
          <w:tcPr>
            <w:tcW w:w="1815" w:type="dxa"/>
            <w:tcBorders>
              <w:top w:val="single" w:color="auto" w:sz="4" w:space="0"/>
              <w:bottom w:val="single" w:color="auto" w:sz="4" w:space="0"/>
            </w:tcBorders>
            <w:noWrap w:val="0"/>
            <w:vAlign w:val="center"/>
          </w:tcPr>
          <w:p>
            <w:pPr>
              <w:spacing w:line="20" w:lineRule="atLeast"/>
              <w:jc w:val="center"/>
              <w:rPr>
                <w:rFonts w:hint="eastAsia" w:ascii="宋体" w:hAnsi="宋体" w:cs="宋体"/>
                <w:szCs w:val="21"/>
                <w:highlight w:val="none"/>
              </w:rPr>
            </w:pPr>
            <w:r>
              <w:rPr>
                <w:rFonts w:hint="eastAsia" w:ascii="宋体" w:hAnsi="宋体" w:cs="宋体"/>
                <w:szCs w:val="21"/>
                <w:highlight w:val="none"/>
              </w:rPr>
              <w:t>防爆通风橱</w:t>
            </w:r>
          </w:p>
        </w:tc>
        <w:tc>
          <w:tcPr>
            <w:tcW w:w="4805" w:type="dxa"/>
            <w:tcBorders>
              <w:top w:val="single" w:color="auto" w:sz="4" w:space="0"/>
              <w:bottom w:val="single" w:color="auto" w:sz="4" w:space="0"/>
            </w:tcBorders>
            <w:noWrap w:val="0"/>
            <w:vAlign w:val="center"/>
          </w:tcPr>
          <w:p>
            <w:pPr>
              <w:spacing w:line="20" w:lineRule="atLeast"/>
              <w:jc w:val="center"/>
              <w:rPr>
                <w:rFonts w:hint="eastAsia"/>
                <w:highlight w:val="none"/>
              </w:rPr>
            </w:pPr>
            <w:r>
              <w:rPr>
                <w:rFonts w:hint="eastAsia"/>
                <w:highlight w:val="none"/>
              </w:rPr>
              <w:t>1500×850×2350mm</w:t>
            </w:r>
          </w:p>
        </w:tc>
        <w:tc>
          <w:tcPr>
            <w:tcW w:w="854" w:type="dxa"/>
            <w:tcBorders>
              <w:top w:val="single" w:color="auto" w:sz="4" w:space="0"/>
              <w:bottom w:val="single" w:color="auto" w:sz="4" w:space="0"/>
            </w:tcBorders>
            <w:noWrap w:val="0"/>
            <w:vAlign w:val="center"/>
          </w:tcPr>
          <w:p>
            <w:pPr>
              <w:spacing w:line="20" w:lineRule="atLeast"/>
              <w:jc w:val="center"/>
              <w:rPr>
                <w:rFonts w:hint="eastAsia" w:ascii="宋体" w:hAnsi="宋体" w:cs="宋体"/>
                <w:szCs w:val="21"/>
                <w:highlight w:val="none"/>
              </w:rPr>
            </w:pPr>
            <w:r>
              <w:rPr>
                <w:rFonts w:hint="eastAsia" w:ascii="宋体" w:hAnsi="宋体" w:cs="宋体"/>
                <w:szCs w:val="21"/>
                <w:highlight w:val="none"/>
              </w:rPr>
              <w:t>台</w:t>
            </w:r>
          </w:p>
        </w:tc>
        <w:tc>
          <w:tcPr>
            <w:tcW w:w="765" w:type="dxa"/>
            <w:tcBorders>
              <w:top w:val="single" w:color="auto" w:sz="4" w:space="0"/>
              <w:bottom w:val="single" w:color="auto" w:sz="4" w:space="0"/>
            </w:tcBorders>
            <w:noWrap w:val="0"/>
            <w:vAlign w:val="center"/>
          </w:tcPr>
          <w:p>
            <w:pPr>
              <w:pStyle w:val="2"/>
              <w:ind w:firstLine="240" w:firstLineChars="100"/>
              <w:rPr>
                <w:rFonts w:hint="eastAsia" w:ascii="宋体" w:hAnsi="宋体" w:cs="宋体"/>
                <w:szCs w:val="21"/>
                <w:highlight w:val="none"/>
              </w:rPr>
            </w:pPr>
            <w:r>
              <w:rPr>
                <w:rFonts w:hint="eastAsia" w:ascii="宋体" w:hAnsi="宋体" w:cs="宋体"/>
                <w:szCs w:val="21"/>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728" w:type="dxa"/>
            <w:vMerge w:val="continue"/>
            <w:noWrap w:val="0"/>
            <w:vAlign w:val="bottom"/>
          </w:tcPr>
          <w:p>
            <w:pPr>
              <w:spacing w:line="20" w:lineRule="atLeast"/>
              <w:jc w:val="center"/>
              <w:rPr>
                <w:rFonts w:ascii="宋体" w:hAnsi="宋体" w:cs="宋体"/>
                <w:szCs w:val="21"/>
                <w:highlight w:val="none"/>
              </w:rPr>
            </w:pPr>
          </w:p>
        </w:tc>
        <w:tc>
          <w:tcPr>
            <w:tcW w:w="1815" w:type="dxa"/>
            <w:tcBorders>
              <w:top w:val="single" w:color="auto" w:sz="4" w:space="0"/>
              <w:bottom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pStyle w:val="2"/>
              <w:spacing w:line="20" w:lineRule="atLeast"/>
              <w:ind w:firstLine="240" w:firstLineChars="100"/>
              <w:textAlignment w:val="auto"/>
              <w:rPr>
                <w:rFonts w:hint="eastAsia" w:ascii="宋体" w:hAnsi="宋体" w:cs="宋体"/>
                <w:szCs w:val="21"/>
                <w:highlight w:val="none"/>
              </w:rPr>
            </w:pPr>
            <w:r>
              <w:rPr>
                <w:rFonts w:hint="eastAsia" w:ascii="宋体" w:hAnsi="宋体" w:cs="宋体"/>
                <w:szCs w:val="21"/>
                <w:highlight w:val="none"/>
              </w:rPr>
              <w:t>-防爆开关</w:t>
            </w:r>
          </w:p>
        </w:tc>
        <w:tc>
          <w:tcPr>
            <w:tcW w:w="4805" w:type="dxa"/>
            <w:tcBorders>
              <w:top w:val="single" w:color="auto" w:sz="4" w:space="0"/>
              <w:bottom w:val="single" w:color="auto" w:sz="4" w:space="0"/>
            </w:tcBorders>
            <w:noWrap w:val="0"/>
            <w:vAlign w:val="center"/>
          </w:tcPr>
          <w:p>
            <w:pPr>
              <w:pStyle w:val="2"/>
              <w:rPr>
                <w:rFonts w:hint="eastAsia"/>
                <w:highlight w:val="none"/>
              </w:rPr>
            </w:pPr>
            <w:r>
              <w:rPr>
                <w:rFonts w:hint="eastAsia"/>
                <w:highlight w:val="none"/>
              </w:rPr>
              <w:t xml:space="preserve"> </w:t>
            </w:r>
            <w:r>
              <w:rPr>
                <w:highlight w:val="none"/>
              </w:rPr>
              <w:t xml:space="preserve">              </w:t>
            </w:r>
            <w:r>
              <w:rPr>
                <w:rFonts w:hint="eastAsia"/>
                <w:highlight w:val="none"/>
              </w:rPr>
              <w:t>防爆</w:t>
            </w:r>
          </w:p>
        </w:tc>
        <w:tc>
          <w:tcPr>
            <w:tcW w:w="854" w:type="dxa"/>
            <w:tcBorders>
              <w:top w:val="single" w:color="auto" w:sz="4" w:space="0"/>
              <w:bottom w:val="single" w:color="auto" w:sz="4" w:space="0"/>
            </w:tcBorders>
            <w:noWrap w:val="0"/>
            <w:vAlign w:val="center"/>
          </w:tcPr>
          <w:p>
            <w:pPr>
              <w:spacing w:line="20" w:lineRule="atLeast"/>
              <w:jc w:val="center"/>
              <w:rPr>
                <w:rFonts w:hint="eastAsia" w:ascii="宋体" w:hAnsi="宋体" w:cs="宋体"/>
                <w:szCs w:val="21"/>
                <w:highlight w:val="none"/>
              </w:rPr>
            </w:pPr>
            <w:r>
              <w:rPr>
                <w:rFonts w:hint="eastAsia" w:ascii="宋体" w:hAnsi="宋体" w:cs="宋体"/>
                <w:szCs w:val="21"/>
                <w:highlight w:val="none"/>
              </w:rPr>
              <w:t>套</w:t>
            </w:r>
          </w:p>
        </w:tc>
        <w:tc>
          <w:tcPr>
            <w:tcW w:w="765" w:type="dxa"/>
            <w:tcBorders>
              <w:top w:val="single" w:color="auto" w:sz="4" w:space="0"/>
              <w:bottom w:val="single" w:color="auto" w:sz="4" w:space="0"/>
            </w:tcBorders>
            <w:noWrap w:val="0"/>
            <w:vAlign w:val="center"/>
          </w:tcPr>
          <w:p>
            <w:pPr>
              <w:pStyle w:val="2"/>
              <w:ind w:firstLine="240" w:firstLineChars="100"/>
              <w:rPr>
                <w:rFonts w:hint="eastAsia" w:ascii="宋体" w:hAnsi="宋体" w:cs="宋体"/>
                <w:szCs w:val="21"/>
                <w:highlight w:val="none"/>
              </w:rPr>
            </w:pPr>
            <w:r>
              <w:rPr>
                <w:rFonts w:hint="eastAsia" w:ascii="宋体" w:hAnsi="宋体" w:cs="宋体"/>
                <w:szCs w:val="21"/>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jc w:val="center"/>
        </w:trPr>
        <w:tc>
          <w:tcPr>
            <w:tcW w:w="728" w:type="dxa"/>
            <w:vMerge w:val="continue"/>
            <w:noWrap w:val="0"/>
            <w:vAlign w:val="bottom"/>
          </w:tcPr>
          <w:p>
            <w:pPr>
              <w:spacing w:line="20" w:lineRule="atLeast"/>
              <w:jc w:val="center"/>
              <w:rPr>
                <w:rFonts w:ascii="宋体" w:hAnsi="宋体" w:cs="宋体"/>
                <w:szCs w:val="21"/>
                <w:highlight w:val="none"/>
              </w:rPr>
            </w:pPr>
          </w:p>
        </w:tc>
        <w:tc>
          <w:tcPr>
            <w:tcW w:w="1815" w:type="dxa"/>
            <w:tcBorders>
              <w:top w:val="single" w:color="auto" w:sz="4" w:space="0"/>
              <w:bottom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spacing w:line="20" w:lineRule="atLeast"/>
              <w:jc w:val="center"/>
              <w:rPr>
                <w:rFonts w:hint="eastAsia" w:ascii="宋体" w:hAnsi="宋体" w:cs="宋体"/>
                <w:szCs w:val="21"/>
                <w:highlight w:val="none"/>
              </w:rPr>
            </w:pPr>
            <w:r>
              <w:rPr>
                <w:rFonts w:hint="eastAsia" w:ascii="宋体" w:hAnsi="宋体" w:cs="宋体"/>
                <w:szCs w:val="21"/>
                <w:highlight w:val="none"/>
              </w:rPr>
              <w:t>-防爆插座</w:t>
            </w:r>
          </w:p>
        </w:tc>
        <w:tc>
          <w:tcPr>
            <w:tcW w:w="4805" w:type="dxa"/>
            <w:tcBorders>
              <w:top w:val="single" w:color="auto" w:sz="4" w:space="0"/>
              <w:bottom w:val="single" w:color="auto" w:sz="4" w:space="0"/>
            </w:tcBorders>
            <w:noWrap w:val="0"/>
            <w:vAlign w:val="center"/>
          </w:tcPr>
          <w:p>
            <w:pPr>
              <w:pStyle w:val="2"/>
              <w:ind w:firstLine="1920" w:firstLineChars="800"/>
              <w:rPr>
                <w:rFonts w:hint="eastAsia"/>
                <w:highlight w:val="none"/>
              </w:rPr>
            </w:pPr>
            <w:r>
              <w:rPr>
                <w:rFonts w:hint="eastAsia"/>
                <w:highlight w:val="none"/>
              </w:rPr>
              <w:t>防爆</w:t>
            </w:r>
          </w:p>
        </w:tc>
        <w:tc>
          <w:tcPr>
            <w:tcW w:w="854" w:type="dxa"/>
            <w:tcBorders>
              <w:top w:val="single" w:color="auto" w:sz="4" w:space="0"/>
              <w:bottom w:val="single" w:color="auto" w:sz="4" w:space="0"/>
            </w:tcBorders>
            <w:noWrap w:val="0"/>
            <w:vAlign w:val="center"/>
          </w:tcPr>
          <w:p>
            <w:pPr>
              <w:spacing w:line="20" w:lineRule="atLeast"/>
              <w:jc w:val="center"/>
              <w:rPr>
                <w:rFonts w:hint="eastAsia" w:ascii="宋体" w:hAnsi="宋体" w:cs="宋体"/>
                <w:szCs w:val="21"/>
                <w:highlight w:val="none"/>
              </w:rPr>
            </w:pPr>
            <w:r>
              <w:rPr>
                <w:rFonts w:hint="eastAsia" w:ascii="宋体" w:hAnsi="宋体" w:cs="宋体"/>
                <w:szCs w:val="21"/>
                <w:highlight w:val="none"/>
              </w:rPr>
              <w:t>个</w:t>
            </w:r>
          </w:p>
        </w:tc>
        <w:tc>
          <w:tcPr>
            <w:tcW w:w="765" w:type="dxa"/>
            <w:tcBorders>
              <w:top w:val="single" w:color="auto" w:sz="4" w:space="0"/>
              <w:bottom w:val="single" w:color="auto" w:sz="4" w:space="0"/>
            </w:tcBorders>
            <w:noWrap w:val="0"/>
            <w:vAlign w:val="center"/>
          </w:tcPr>
          <w:p>
            <w:pPr>
              <w:pStyle w:val="2"/>
              <w:ind w:firstLine="240" w:firstLineChars="100"/>
              <w:rPr>
                <w:rFonts w:hint="eastAsia" w:ascii="宋体" w:hAnsi="宋体" w:cs="宋体"/>
                <w:szCs w:val="21"/>
                <w:highlight w:val="none"/>
              </w:rPr>
            </w:pPr>
            <w:r>
              <w:rPr>
                <w:rFonts w:hint="eastAsia" w:ascii="宋体" w:hAnsi="宋体" w:cs="宋体"/>
                <w:szCs w:val="21"/>
                <w:highlight w:val="none"/>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28" w:type="dxa"/>
            <w:vMerge w:val="continue"/>
            <w:noWrap w:val="0"/>
            <w:vAlign w:val="bottom"/>
          </w:tcPr>
          <w:p>
            <w:pPr>
              <w:spacing w:line="20" w:lineRule="atLeast"/>
              <w:jc w:val="center"/>
              <w:rPr>
                <w:rFonts w:ascii="宋体" w:hAnsi="宋体" w:cs="宋体"/>
                <w:szCs w:val="21"/>
                <w:highlight w:val="none"/>
              </w:rPr>
            </w:pPr>
          </w:p>
        </w:tc>
        <w:tc>
          <w:tcPr>
            <w:tcW w:w="1815" w:type="dxa"/>
            <w:tcBorders>
              <w:top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spacing w:line="20" w:lineRule="atLeast"/>
              <w:jc w:val="center"/>
              <w:rPr>
                <w:rFonts w:hint="eastAsia" w:ascii="宋体" w:hAnsi="宋体" w:cs="宋体"/>
                <w:szCs w:val="21"/>
                <w:highlight w:val="none"/>
              </w:rPr>
            </w:pPr>
            <w:r>
              <w:rPr>
                <w:rFonts w:hint="eastAsia" w:ascii="宋体" w:hAnsi="宋体" w:cs="宋体"/>
                <w:szCs w:val="21"/>
                <w:highlight w:val="none"/>
              </w:rPr>
              <w:t>-照明系统</w:t>
            </w:r>
          </w:p>
        </w:tc>
        <w:tc>
          <w:tcPr>
            <w:tcW w:w="4805" w:type="dxa"/>
            <w:tcBorders>
              <w:top w:val="single" w:color="auto" w:sz="4" w:space="0"/>
            </w:tcBorders>
            <w:noWrap w:val="0"/>
            <w:vAlign w:val="center"/>
          </w:tcPr>
          <w:p>
            <w:pPr>
              <w:pStyle w:val="2"/>
              <w:rPr>
                <w:rFonts w:hint="eastAsia"/>
                <w:highlight w:val="none"/>
              </w:rPr>
            </w:pPr>
            <w:r>
              <w:rPr>
                <w:rFonts w:hint="eastAsia"/>
                <w:highlight w:val="none"/>
              </w:rPr>
              <w:t xml:space="preserve"> </w:t>
            </w:r>
            <w:r>
              <w:rPr>
                <w:highlight w:val="none"/>
              </w:rPr>
              <w:t xml:space="preserve">               </w:t>
            </w:r>
            <w:r>
              <w:rPr>
                <w:rFonts w:hint="eastAsia"/>
                <w:highlight w:val="none"/>
              </w:rPr>
              <w:t>防爆</w:t>
            </w:r>
          </w:p>
        </w:tc>
        <w:tc>
          <w:tcPr>
            <w:tcW w:w="854" w:type="dxa"/>
            <w:tcBorders>
              <w:top w:val="single" w:color="auto" w:sz="4" w:space="0"/>
            </w:tcBorders>
            <w:noWrap w:val="0"/>
            <w:vAlign w:val="center"/>
          </w:tcPr>
          <w:p>
            <w:pPr>
              <w:spacing w:line="20" w:lineRule="atLeast"/>
              <w:jc w:val="center"/>
              <w:rPr>
                <w:rFonts w:hint="eastAsia" w:ascii="宋体" w:hAnsi="宋体" w:cs="宋体"/>
                <w:szCs w:val="21"/>
                <w:highlight w:val="none"/>
              </w:rPr>
            </w:pPr>
            <w:r>
              <w:rPr>
                <w:rFonts w:hint="eastAsia" w:ascii="宋体" w:hAnsi="宋体" w:cs="宋体"/>
                <w:szCs w:val="21"/>
                <w:highlight w:val="none"/>
              </w:rPr>
              <w:t>套</w:t>
            </w:r>
          </w:p>
        </w:tc>
        <w:tc>
          <w:tcPr>
            <w:tcW w:w="765" w:type="dxa"/>
            <w:tcBorders>
              <w:top w:val="single" w:color="auto" w:sz="4" w:space="0"/>
            </w:tcBorders>
            <w:noWrap w:val="0"/>
            <w:vAlign w:val="center"/>
          </w:tcPr>
          <w:p>
            <w:pPr>
              <w:pStyle w:val="2"/>
              <w:ind w:firstLine="240" w:firstLineChars="100"/>
              <w:rPr>
                <w:rFonts w:hint="eastAsia" w:ascii="宋体" w:hAnsi="宋体" w:cs="宋体"/>
                <w:szCs w:val="21"/>
                <w:highlight w:val="none"/>
              </w:rPr>
            </w:pPr>
            <w:r>
              <w:rPr>
                <w:rFonts w:hint="eastAsia" w:ascii="宋体" w:hAnsi="宋体" w:cs="宋体"/>
                <w:szCs w:val="21"/>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jc w:val="center"/>
        </w:trPr>
        <w:tc>
          <w:tcPr>
            <w:tcW w:w="8967" w:type="dxa"/>
            <w:gridSpan w:val="5"/>
            <w:noWrap w:val="0"/>
            <w:vAlign w:val="bottom"/>
          </w:tcPr>
          <w:p>
            <w:pPr>
              <w:spacing w:line="20" w:lineRule="atLeast"/>
              <w:jc w:val="center"/>
              <w:rPr>
                <w:rFonts w:ascii="宋体" w:hAnsi="宋体" w:cs="宋体"/>
                <w:szCs w:val="21"/>
                <w:highlight w:val="none"/>
              </w:rPr>
            </w:pPr>
            <w:r>
              <w:rPr>
                <w:rFonts w:hint="eastAsia" w:ascii="宋体" w:hAnsi="宋体" w:cs="宋体"/>
                <w:szCs w:val="21"/>
                <w:highlight w:val="none"/>
              </w:rPr>
              <w:t>本项目中以上设备及配件（防爆通风橱除外）需要按照图纸进行安装施工，且需要与防爆小屋中的气瓶和相应设施等连接。本项目接收工业级或实验室用气体管路建设货物，不接受民用级别货物。</w:t>
            </w:r>
          </w:p>
        </w:tc>
      </w:tr>
      <w:bookmarkEnd w:id="21"/>
    </w:tbl>
    <w:p>
      <w:pPr>
        <w:pStyle w:val="5"/>
        <w:numPr>
          <w:ilvl w:val="2"/>
          <w:numId w:val="0"/>
        </w:numPr>
        <w:tabs>
          <w:tab w:val="left" w:pos="425"/>
          <w:tab w:val="left" w:pos="1505"/>
        </w:tabs>
        <w:spacing w:after="0"/>
        <w:ind w:left="420" w:right="60"/>
        <w:outlineLvl w:val="3"/>
        <w:rPr>
          <w:rFonts w:ascii="宋体" w:hAnsi="宋体" w:cs="宋体"/>
          <w:b/>
          <w:bCs/>
          <w:kern w:val="21"/>
          <w:szCs w:val="21"/>
        </w:rPr>
      </w:pPr>
    </w:p>
    <w:p>
      <w:pPr>
        <w:pStyle w:val="5"/>
        <w:numPr>
          <w:ilvl w:val="2"/>
          <w:numId w:val="0"/>
        </w:numPr>
        <w:tabs>
          <w:tab w:val="left" w:pos="425"/>
          <w:tab w:val="left" w:pos="1505"/>
        </w:tabs>
        <w:spacing w:after="0"/>
        <w:ind w:left="420" w:right="60"/>
        <w:outlineLvl w:val="3"/>
        <w:rPr>
          <w:rFonts w:ascii="宋体" w:hAnsi="宋体" w:cs="宋体"/>
          <w:szCs w:val="21"/>
        </w:rPr>
      </w:pPr>
      <w:r>
        <w:rPr>
          <w:rFonts w:hint="eastAsia" w:ascii="宋体" w:hAnsi="宋体" w:cs="宋体"/>
          <w:b/>
          <w:bCs/>
          <w:kern w:val="21"/>
          <w:szCs w:val="21"/>
        </w:rPr>
        <w:t>2、材质说明</w:t>
      </w:r>
    </w:p>
    <w:p>
      <w:pPr>
        <w:pStyle w:val="5"/>
        <w:numPr>
          <w:ilvl w:val="2"/>
          <w:numId w:val="0"/>
        </w:numPr>
        <w:tabs>
          <w:tab w:val="left" w:pos="425"/>
          <w:tab w:val="left" w:pos="1505"/>
        </w:tabs>
        <w:spacing w:after="0"/>
        <w:ind w:left="400" w:right="60"/>
        <w:rPr>
          <w:rFonts w:ascii="宋体" w:hAnsi="宋体" w:cs="宋体"/>
          <w:b/>
          <w:bCs/>
          <w:kern w:val="21"/>
          <w:szCs w:val="21"/>
        </w:rPr>
      </w:pPr>
      <w:r>
        <w:rPr>
          <w:rFonts w:hint="eastAsia" w:ascii="宋体" w:hAnsi="宋体" w:cs="宋体"/>
          <w:b/>
          <w:bCs/>
          <w:kern w:val="21"/>
          <w:szCs w:val="21"/>
        </w:rPr>
        <w:t>（1） 二级减压阀</w:t>
      </w:r>
    </w:p>
    <w:p>
      <w:pPr>
        <w:snapToGrid w:val="0"/>
        <w:spacing w:line="288" w:lineRule="auto"/>
        <w:ind w:firstLine="720" w:firstLineChars="300"/>
        <w:rPr>
          <w:rFonts w:ascii="宋体" w:hAnsi="宋体" w:cs="宋体"/>
          <w:lang w:eastAsia="zh-Hans"/>
        </w:rPr>
      </w:pPr>
      <w:r>
        <w:rPr>
          <w:rFonts w:hint="eastAsia" w:ascii="宋体" w:hAnsi="宋体" w:cs="宋体"/>
        </w:rPr>
        <w:t>（a）</w:t>
      </w:r>
      <w:r>
        <w:rPr>
          <w:rFonts w:hint="eastAsia" w:ascii="宋体" w:hAnsi="宋体" w:cs="宋体"/>
          <w:lang w:eastAsia="zh-Hans"/>
        </w:rPr>
        <w:t>功能：在终端使用设备前进行二次减压，实现压力的稳定供应</w:t>
      </w:r>
    </w:p>
    <w:p>
      <w:pPr>
        <w:snapToGrid w:val="0"/>
        <w:spacing w:line="288" w:lineRule="auto"/>
        <w:rPr>
          <w:rFonts w:ascii="宋体" w:hAnsi="宋体" w:cs="宋体"/>
          <w:lang w:eastAsia="zh-Hans"/>
        </w:rPr>
      </w:pPr>
      <w:r>
        <w:rPr>
          <w:rFonts w:hint="eastAsia" w:ascii="宋体" w:hAnsi="宋体" w:cs="宋体"/>
          <w:lang w:eastAsia="zh-Hans"/>
        </w:rPr>
        <w:t xml:space="preserve">     </w:t>
      </w:r>
      <w:r>
        <w:rPr>
          <w:rFonts w:ascii="宋体" w:hAnsi="宋体" w:cs="宋体"/>
        </w:rPr>
        <w:t xml:space="preserve"> </w:t>
      </w:r>
      <w:r>
        <w:rPr>
          <w:rFonts w:hint="eastAsia" w:ascii="宋体" w:hAnsi="宋体" w:cs="宋体"/>
          <w:lang w:eastAsia="zh-Hans"/>
        </w:rPr>
        <w:t>阀体及阀芯组件采用316L材质，符合ASTM-A726 316L</w:t>
      </w:r>
    </w:p>
    <w:p>
      <w:pPr>
        <w:snapToGrid w:val="0"/>
        <w:spacing w:line="288" w:lineRule="auto"/>
        <w:rPr>
          <w:rFonts w:ascii="宋体" w:hAnsi="宋体" w:cs="宋体"/>
          <w:lang w:eastAsia="zh-Hans"/>
        </w:rPr>
      </w:pPr>
      <w:r>
        <w:rPr>
          <w:rFonts w:hint="eastAsia" w:ascii="宋体" w:hAnsi="宋体" w:cs="宋体"/>
          <w:lang w:eastAsia="zh-Hans"/>
        </w:rPr>
        <w:t xml:space="preserve">      减压阀膜片须采用哈斯合金薄片C276材质</w:t>
      </w:r>
    </w:p>
    <w:p>
      <w:pPr>
        <w:snapToGrid w:val="0"/>
        <w:spacing w:line="288" w:lineRule="auto"/>
        <w:rPr>
          <w:rFonts w:ascii="宋体" w:hAnsi="宋体" w:cs="宋体"/>
          <w:lang w:eastAsia="zh-Hans"/>
        </w:rPr>
      </w:pPr>
      <w:r>
        <w:rPr>
          <w:rFonts w:hint="eastAsia" w:ascii="宋体" w:hAnsi="宋体" w:cs="宋体"/>
          <w:lang w:eastAsia="zh-Hans"/>
        </w:rPr>
        <w:t xml:space="preserve">      最大工作压力300Bar（测试压力300Bar）</w:t>
      </w:r>
    </w:p>
    <w:p>
      <w:pPr>
        <w:snapToGrid w:val="0"/>
        <w:spacing w:line="288" w:lineRule="auto"/>
        <w:rPr>
          <w:rFonts w:ascii="宋体" w:hAnsi="宋体" w:cs="宋体"/>
          <w:lang w:eastAsia="zh-Hans"/>
        </w:rPr>
      </w:pPr>
      <w:r>
        <w:rPr>
          <w:rFonts w:hint="eastAsia" w:ascii="宋体" w:hAnsi="宋体" w:cs="宋体"/>
          <w:lang w:eastAsia="zh-Hans"/>
        </w:rPr>
        <w:t xml:space="preserve">      产品泄漏率≤1*10</w:t>
      </w:r>
      <w:r>
        <w:rPr>
          <w:rFonts w:hint="eastAsia" w:ascii="宋体" w:hAnsi="宋体" w:cs="宋体"/>
          <w:vertAlign w:val="superscript"/>
          <w:lang w:eastAsia="zh-Hans"/>
        </w:rPr>
        <w:t xml:space="preserve">-8 </w:t>
      </w:r>
      <w:r>
        <w:rPr>
          <w:rFonts w:hint="eastAsia" w:ascii="宋体" w:hAnsi="宋体" w:cs="宋体"/>
          <w:lang w:eastAsia="zh-Hans"/>
        </w:rPr>
        <w:t>mbar l/s He</w:t>
      </w:r>
    </w:p>
    <w:p>
      <w:pPr>
        <w:snapToGrid w:val="0"/>
        <w:spacing w:line="288" w:lineRule="auto"/>
        <w:ind w:firstLine="720" w:firstLineChars="300"/>
        <w:rPr>
          <w:rFonts w:ascii="宋体" w:hAnsi="宋体" w:cs="宋体"/>
          <w:lang w:eastAsia="zh-Hans"/>
        </w:rPr>
      </w:pPr>
      <w:r>
        <w:rPr>
          <w:rFonts w:hint="eastAsia" w:ascii="宋体" w:hAnsi="宋体" w:cs="宋体"/>
          <w:lang w:eastAsia="zh-Hans"/>
        </w:rPr>
        <w:t>流量特性试验：给最高允许进口工作压力，阀门为某一出口压力。同时调节阀门后截止阀，使出口流量为该工况下的20%最大流量，最后在逐渐开启截止阀使出口流量达到该工况下的100%最大流量，变化小于≤10%。</w:t>
      </w:r>
    </w:p>
    <w:p>
      <w:pPr>
        <w:snapToGrid w:val="0"/>
        <w:spacing w:line="288" w:lineRule="auto"/>
        <w:ind w:firstLine="720" w:firstLineChars="300"/>
        <w:rPr>
          <w:rFonts w:ascii="宋体" w:hAnsi="宋体" w:cs="宋体"/>
          <w:lang w:eastAsia="zh-Hans"/>
        </w:rPr>
      </w:pPr>
      <w:r>
        <w:rPr>
          <w:rFonts w:hint="eastAsia" w:ascii="宋体" w:hAnsi="宋体" w:cs="宋体"/>
          <w:lang w:eastAsia="zh-Hans"/>
        </w:rPr>
        <w:t xml:space="preserve">压力特性试验：给最高允许进口工作压力，调压出口分别为该弹簧压力等级内最高，最低压力。保持该工况最大流量，然后改变阀门前截止阀的开度，使进口压力在80%-105%最高工作压力范围内变化，压力偏差≤8%。   </w:t>
      </w:r>
    </w:p>
    <w:p>
      <w:pPr>
        <w:snapToGrid w:val="0"/>
        <w:spacing w:line="288" w:lineRule="auto"/>
        <w:ind w:firstLine="566" w:firstLineChars="235"/>
        <w:rPr>
          <w:rFonts w:ascii="宋体" w:hAnsi="宋体" w:cs="宋体"/>
          <w:b/>
          <w:bCs/>
          <w:szCs w:val="21"/>
        </w:rPr>
      </w:pPr>
      <w:r>
        <w:rPr>
          <w:rFonts w:hint="eastAsia" w:ascii="宋体" w:hAnsi="宋体" w:cs="宋体"/>
          <w:b/>
          <w:bCs/>
          <w:szCs w:val="21"/>
        </w:rPr>
        <w:t>（b）</w:t>
      </w:r>
      <w:r>
        <w:rPr>
          <w:rFonts w:hint="eastAsia" w:ascii="宋体" w:hAnsi="宋体" w:cs="宋体"/>
          <w:b/>
          <w:szCs w:val="21"/>
        </w:rPr>
        <w:t>★</w:t>
      </w:r>
      <w:r>
        <w:rPr>
          <w:rFonts w:hint="eastAsia" w:ascii="宋体" w:hAnsi="宋体" w:cs="宋体"/>
          <w:b/>
          <w:bCs/>
          <w:szCs w:val="21"/>
        </w:rPr>
        <w:t>产品须提供第三方检测机构出具的检测报告</w:t>
      </w:r>
      <w:r>
        <w:rPr>
          <w:rFonts w:hint="eastAsia" w:ascii="宋体" w:hAnsi="宋体" w:cs="宋体"/>
          <w:b/>
          <w:bCs/>
          <w:color w:val="auto"/>
          <w:szCs w:val="21"/>
        </w:rPr>
        <w:t>复印件</w:t>
      </w:r>
      <w:r>
        <w:rPr>
          <w:rFonts w:hint="eastAsia" w:ascii="宋体" w:hAnsi="宋体" w:cs="宋体"/>
          <w:b/>
          <w:bCs/>
          <w:szCs w:val="21"/>
          <w:lang w:eastAsia="zh-Hans"/>
        </w:rPr>
        <w:t>加盖</w:t>
      </w:r>
      <w:r>
        <w:rPr>
          <w:rFonts w:hint="eastAsia" w:ascii="宋体" w:hAnsi="宋体" w:cs="宋体"/>
          <w:b/>
          <w:bCs/>
          <w:szCs w:val="21"/>
        </w:rPr>
        <w:t>生产厂家公章</w:t>
      </w:r>
      <w:r>
        <w:rPr>
          <w:rFonts w:hint="eastAsia" w:ascii="宋体" w:hAnsi="宋体" w:cs="宋体"/>
          <w:b/>
          <w:bCs/>
          <w:szCs w:val="21"/>
          <w:lang w:eastAsia="zh-Hans"/>
        </w:rPr>
        <w:t>包含（</w:t>
      </w:r>
      <w:r>
        <w:rPr>
          <w:rFonts w:hint="eastAsia" w:ascii="宋体" w:hAnsi="宋体" w:cs="宋体"/>
          <w:b/>
          <w:bCs/>
          <w:szCs w:val="21"/>
        </w:rPr>
        <w:t>检测依据：GB/T 12245-2006《减压阀性能试验方法》：壳体试验、密封试验、调压试验、压力负载特性，检测合格。</w:t>
      </w:r>
      <w:r>
        <w:rPr>
          <w:rFonts w:hint="eastAsia" w:ascii="宋体" w:hAnsi="宋体" w:cs="宋体"/>
          <w:b/>
          <w:bCs/>
          <w:szCs w:val="21"/>
          <w:lang w:eastAsia="zh-Hans"/>
        </w:rPr>
        <w:t>）</w:t>
      </w:r>
      <w:r>
        <w:rPr>
          <w:rFonts w:hint="eastAsia" w:ascii="宋体" w:hAnsi="宋体" w:cs="宋体"/>
          <w:b/>
          <w:bCs/>
          <w:szCs w:val="21"/>
        </w:rPr>
        <w:t xml:space="preserve"> </w:t>
      </w:r>
    </w:p>
    <w:p>
      <w:pPr>
        <w:pStyle w:val="5"/>
        <w:numPr>
          <w:ilvl w:val="2"/>
          <w:numId w:val="0"/>
        </w:numPr>
        <w:tabs>
          <w:tab w:val="left" w:pos="425"/>
          <w:tab w:val="left" w:pos="1505"/>
        </w:tabs>
        <w:spacing w:after="0"/>
        <w:ind w:left="400" w:right="60"/>
        <w:rPr>
          <w:rFonts w:ascii="宋体" w:hAnsi="宋体" w:cs="宋体"/>
          <w:b/>
          <w:bCs/>
          <w:kern w:val="21"/>
          <w:szCs w:val="21"/>
        </w:rPr>
      </w:pPr>
      <w:r>
        <w:rPr>
          <w:rFonts w:hint="eastAsia" w:ascii="宋体" w:hAnsi="宋体" w:cs="宋体"/>
          <w:b/>
          <w:bCs/>
          <w:kern w:val="21"/>
          <w:szCs w:val="21"/>
        </w:rPr>
        <w:t>（2）二级减压阀组（气体终端控制器）</w:t>
      </w:r>
    </w:p>
    <w:p>
      <w:pPr>
        <w:ind w:firstLine="480" w:firstLineChars="200"/>
        <w:rPr>
          <w:rFonts w:ascii="宋体" w:hAnsi="宋体" w:cs="宋体"/>
        </w:rPr>
      </w:pPr>
      <w:r>
        <w:rPr>
          <w:rFonts w:hint="eastAsia" w:ascii="宋体" w:hAnsi="宋体" w:cs="宋体"/>
        </w:rPr>
        <w:t xml:space="preserve">（a）类型: 单极式减压；进气压力 P1: 最大100 bar；出气压力P2: 2/4/10/20/50 bar </w:t>
      </w:r>
    </w:p>
    <w:p>
      <w:pPr>
        <w:ind w:firstLine="480" w:firstLineChars="200"/>
        <w:rPr>
          <w:rFonts w:ascii="宋体" w:hAnsi="宋体" w:cs="宋体"/>
        </w:rPr>
      </w:pPr>
      <w:r>
        <w:rPr>
          <w:rFonts w:hint="eastAsia" w:ascii="宋体" w:hAnsi="宋体" w:cs="宋体"/>
        </w:rPr>
        <w:t>（b）材质:</w:t>
      </w:r>
    </w:p>
    <w:p>
      <w:pPr>
        <w:ind w:firstLine="720" w:firstLineChars="300"/>
        <w:rPr>
          <w:rFonts w:ascii="宋体" w:hAnsi="宋体" w:cs="宋体"/>
        </w:rPr>
      </w:pPr>
      <w:r>
        <w:rPr>
          <w:rFonts w:hint="eastAsia" w:ascii="宋体" w:hAnsi="宋体" w:cs="宋体"/>
        </w:rPr>
        <w:t>减压器和膜片阀母体: 详见设计图纸要求；</w:t>
      </w:r>
    </w:p>
    <w:p>
      <w:pPr>
        <w:ind w:firstLine="720" w:firstLineChars="300"/>
        <w:rPr>
          <w:rFonts w:ascii="宋体" w:hAnsi="宋体" w:cs="宋体"/>
        </w:rPr>
      </w:pPr>
      <w:r>
        <w:rPr>
          <w:rFonts w:hint="eastAsia" w:ascii="宋体" w:hAnsi="宋体" w:cs="宋体"/>
        </w:rPr>
        <w:t>阀座(减压器): PCTFE</w:t>
      </w:r>
      <w:r>
        <w:rPr>
          <w:rFonts w:ascii="宋体" w:hAnsi="宋体" w:cs="宋体"/>
        </w:rPr>
        <w:t>,</w:t>
      </w:r>
      <w:r>
        <w:rPr>
          <w:rFonts w:hint="eastAsia" w:ascii="宋体" w:hAnsi="宋体" w:cs="宋体"/>
        </w:rPr>
        <w:t>(球阀): PTFE；</w:t>
      </w:r>
    </w:p>
    <w:p>
      <w:pPr>
        <w:snapToGrid w:val="0"/>
        <w:spacing w:line="288" w:lineRule="auto"/>
        <w:ind w:firstLine="720" w:firstLineChars="300"/>
        <w:rPr>
          <w:rFonts w:ascii="宋体" w:hAnsi="宋体" w:cs="宋体"/>
          <w:lang w:eastAsia="zh-Hans"/>
        </w:rPr>
      </w:pPr>
      <w:r>
        <w:rPr>
          <w:rFonts w:hint="eastAsia" w:ascii="宋体" w:hAnsi="宋体" w:cs="宋体"/>
        </w:rPr>
        <w:t xml:space="preserve">膜片(减压器): </w:t>
      </w:r>
      <w:r>
        <w:rPr>
          <w:rFonts w:hint="eastAsia" w:ascii="宋体" w:hAnsi="宋体" w:cs="宋体"/>
          <w:lang w:eastAsia="zh-Hans"/>
        </w:rPr>
        <w:t>哈斯合金薄片C276材质</w:t>
      </w:r>
      <w:r>
        <w:rPr>
          <w:rFonts w:hint="eastAsia" w:ascii="宋体" w:hAnsi="宋体" w:cs="宋体"/>
        </w:rPr>
        <w:t>；</w:t>
      </w:r>
    </w:p>
    <w:p>
      <w:pPr>
        <w:ind w:firstLine="720" w:firstLineChars="300"/>
        <w:rPr>
          <w:rFonts w:ascii="宋体" w:hAnsi="宋体" w:cs="宋体"/>
        </w:rPr>
      </w:pPr>
      <w:r>
        <w:rPr>
          <w:rFonts w:hint="eastAsia" w:ascii="宋体" w:hAnsi="宋体" w:cs="宋体"/>
        </w:rPr>
        <w:t>过滤网: SS 316L；温度适用: -30℃—74°C；</w:t>
      </w:r>
    </w:p>
    <w:p>
      <w:pPr>
        <w:ind w:firstLine="720" w:firstLineChars="300"/>
        <w:rPr>
          <w:rFonts w:ascii="宋体" w:hAnsi="宋体" w:cs="宋体"/>
        </w:rPr>
      </w:pPr>
      <w:r>
        <w:rPr>
          <w:rFonts w:hint="eastAsia" w:ascii="宋体" w:hAnsi="宋体" w:cs="宋体"/>
        </w:rPr>
        <w:t>泄漏率:(外部) 1x10-9mbar l/s He (内部) 1x10-6mbar l/s He；</w:t>
      </w:r>
    </w:p>
    <w:p>
      <w:pPr>
        <w:ind w:firstLine="720" w:firstLineChars="300"/>
        <w:rPr>
          <w:rFonts w:ascii="宋体" w:hAnsi="宋体" w:cs="宋体"/>
        </w:rPr>
      </w:pPr>
      <w:r>
        <w:rPr>
          <w:rFonts w:hint="eastAsia" w:ascii="宋体" w:hAnsi="宋体" w:cs="宋体"/>
          <w:highlight w:val="none"/>
        </w:rPr>
        <w:t>流量参数: Cv=0.07</w:t>
      </w:r>
      <w:r>
        <w:rPr>
          <w:rFonts w:ascii="宋体" w:hAnsi="宋体" w:cs="宋体"/>
          <w:highlight w:val="none"/>
        </w:rPr>
        <w:t>MP</w:t>
      </w:r>
      <w:r>
        <w:rPr>
          <w:rFonts w:hint="eastAsia" w:ascii="宋体" w:hAnsi="宋体" w:cs="宋体"/>
          <w:highlight w:val="none"/>
        </w:rPr>
        <w:t>a</w:t>
      </w:r>
      <w:r>
        <w:rPr>
          <w:rFonts w:ascii="宋体" w:hAnsi="宋体" w:cs="宋体"/>
          <w:highlight w:val="none"/>
        </w:rPr>
        <w:t xml:space="preserve"> </w:t>
      </w:r>
      <w:r>
        <w:rPr>
          <w:rFonts w:hint="eastAsia" w:ascii="宋体" w:hAnsi="宋体" w:cs="宋体"/>
        </w:rPr>
        <w:t>；</w:t>
      </w:r>
    </w:p>
    <w:p>
      <w:pPr>
        <w:ind w:firstLine="720" w:firstLineChars="300"/>
      </w:pPr>
      <w:r>
        <w:rPr>
          <w:rFonts w:hint="eastAsia" w:ascii="宋体" w:hAnsi="宋体" w:cs="宋体"/>
        </w:rPr>
        <w:t>重量: 4.1~5.7kg；</w:t>
      </w:r>
    </w:p>
    <w:p>
      <w:pPr>
        <w:ind w:firstLine="480" w:firstLineChars="200"/>
        <w:rPr>
          <w:rFonts w:ascii="宋体" w:hAnsi="宋体" w:cs="宋体"/>
          <w:highlight w:val="none"/>
        </w:rPr>
      </w:pPr>
      <w:r>
        <w:rPr>
          <w:rFonts w:ascii="宋体" w:hAnsi="宋体" w:cs="宋体"/>
          <w:highlight w:val="none"/>
        </w:rPr>
        <w:t>(c</w:t>
      </w:r>
      <w:r>
        <w:rPr>
          <w:rFonts w:hint="eastAsia" w:ascii="宋体" w:hAnsi="宋体" w:cs="宋体"/>
          <w:highlight w:val="none"/>
        </w:rPr>
        <w:t>）产品特点：</w:t>
      </w:r>
    </w:p>
    <w:p>
      <w:pPr>
        <w:ind w:firstLine="720" w:firstLineChars="300"/>
        <w:rPr>
          <w:rFonts w:ascii="宋体" w:hAnsi="宋体" w:cs="宋体"/>
        </w:rPr>
      </w:pPr>
      <w:r>
        <w:rPr>
          <w:rFonts w:hint="eastAsia" w:ascii="宋体" w:hAnsi="宋体" w:cs="宋体"/>
        </w:rPr>
        <w:t>墙面式气体终端；</w:t>
      </w:r>
    </w:p>
    <w:p>
      <w:pPr>
        <w:ind w:firstLine="720" w:firstLineChars="300"/>
        <w:rPr>
          <w:rFonts w:ascii="宋体" w:hAnsi="宋体" w:cs="宋体"/>
        </w:rPr>
      </w:pPr>
      <w:r>
        <w:rPr>
          <w:rFonts w:hint="eastAsia" w:ascii="宋体" w:hAnsi="宋体" w:cs="宋体"/>
        </w:rPr>
        <w:t>单级减压器；</w:t>
      </w:r>
    </w:p>
    <w:p>
      <w:pPr>
        <w:ind w:firstLine="720" w:firstLineChars="300"/>
        <w:rPr>
          <w:rFonts w:ascii="宋体" w:hAnsi="宋体" w:cs="宋体"/>
        </w:rPr>
      </w:pPr>
      <w:r>
        <w:rPr>
          <w:rFonts w:hint="eastAsia" w:ascii="宋体" w:hAnsi="宋体" w:cs="宋体"/>
        </w:rPr>
        <w:t>母体和上盖黄铜电镀，适用于6.0级非腐蚀性气体和混合气体；</w:t>
      </w:r>
    </w:p>
    <w:p>
      <w:pPr>
        <w:ind w:firstLine="720" w:firstLineChars="300"/>
        <w:rPr>
          <w:rFonts w:ascii="宋体" w:hAnsi="宋体" w:cs="宋体"/>
        </w:rPr>
      </w:pPr>
      <w:r>
        <w:rPr>
          <w:rFonts w:hint="eastAsia" w:ascii="宋体" w:hAnsi="宋体" w:cs="宋体"/>
        </w:rPr>
        <w:t>母体和上盖316L，适用于腐蚀性气体；</w:t>
      </w:r>
    </w:p>
    <w:p>
      <w:pPr>
        <w:ind w:firstLine="720" w:firstLineChars="300"/>
        <w:rPr>
          <w:rFonts w:ascii="宋体" w:hAnsi="宋体" w:cs="宋体"/>
        </w:rPr>
      </w:pPr>
      <w:r>
        <w:rPr>
          <w:rFonts w:hint="eastAsia" w:ascii="宋体" w:hAnsi="宋体" w:cs="宋体"/>
        </w:rPr>
        <w:t>模块化设计；</w:t>
      </w:r>
    </w:p>
    <w:p>
      <w:pPr>
        <w:ind w:firstLine="720" w:firstLineChars="300"/>
        <w:rPr>
          <w:rFonts w:ascii="宋体" w:hAnsi="宋体" w:cs="宋体"/>
        </w:rPr>
      </w:pPr>
      <w:r>
        <w:rPr>
          <w:rFonts w:hint="eastAsia" w:ascii="宋体" w:hAnsi="宋体" w:cs="宋体"/>
        </w:rPr>
        <w:t>膜片式开关阀；</w:t>
      </w:r>
    </w:p>
    <w:p>
      <w:pPr>
        <w:ind w:firstLine="720" w:firstLineChars="300"/>
        <w:rPr>
          <w:rFonts w:ascii="宋体" w:hAnsi="宋体" w:cs="宋体"/>
          <w:color w:val="FF0000"/>
        </w:rPr>
      </w:pPr>
      <w:r>
        <w:rPr>
          <w:rFonts w:hint="eastAsia" w:ascii="宋体" w:hAnsi="宋体" w:cs="宋体"/>
        </w:rPr>
        <w:t>进气压力100bar；</w:t>
      </w:r>
    </w:p>
    <w:p>
      <w:pPr>
        <w:ind w:firstLine="720" w:firstLineChars="300"/>
        <w:rPr>
          <w:rFonts w:ascii="宋体" w:hAnsi="宋体" w:cs="宋体"/>
        </w:rPr>
      </w:pPr>
      <w:r>
        <w:rPr>
          <w:rFonts w:hint="eastAsia" w:ascii="宋体" w:hAnsi="宋体" w:cs="宋体"/>
        </w:rPr>
        <w:t>适用于氧气。</w:t>
      </w:r>
    </w:p>
    <w:p>
      <w:pPr>
        <w:pStyle w:val="5"/>
        <w:numPr>
          <w:ilvl w:val="2"/>
          <w:numId w:val="0"/>
        </w:numPr>
        <w:tabs>
          <w:tab w:val="left" w:pos="425"/>
          <w:tab w:val="left" w:pos="1505"/>
        </w:tabs>
        <w:spacing w:after="0"/>
        <w:ind w:left="400" w:right="60"/>
        <w:rPr>
          <w:rFonts w:ascii="宋体" w:hAnsi="宋体" w:cs="宋体"/>
          <w:b/>
          <w:bCs/>
          <w:kern w:val="21"/>
          <w:szCs w:val="21"/>
        </w:rPr>
      </w:pPr>
      <w:r>
        <w:rPr>
          <w:rFonts w:hint="eastAsia" w:ascii="宋体" w:hAnsi="宋体" w:cs="宋体"/>
          <w:b/>
          <w:bCs/>
          <w:kern w:val="21"/>
          <w:szCs w:val="21"/>
        </w:rPr>
        <w:t>（</w:t>
      </w:r>
      <w:r>
        <w:rPr>
          <w:rFonts w:ascii="宋体" w:hAnsi="宋体" w:cs="宋体"/>
          <w:b/>
          <w:bCs/>
          <w:kern w:val="21"/>
          <w:szCs w:val="21"/>
        </w:rPr>
        <w:t>3</w:t>
      </w:r>
      <w:r>
        <w:rPr>
          <w:rFonts w:hint="eastAsia" w:ascii="宋体" w:hAnsi="宋体" w:cs="宋体"/>
          <w:b/>
          <w:bCs/>
          <w:kern w:val="21"/>
          <w:szCs w:val="21"/>
        </w:rPr>
        <w:t>）球阀：</w:t>
      </w:r>
    </w:p>
    <w:p>
      <w:pPr>
        <w:pStyle w:val="5"/>
        <w:numPr>
          <w:ilvl w:val="2"/>
          <w:numId w:val="0"/>
        </w:numPr>
        <w:tabs>
          <w:tab w:val="left" w:pos="425"/>
          <w:tab w:val="left" w:pos="1505"/>
        </w:tabs>
        <w:spacing w:after="0"/>
        <w:ind w:left="400" w:right="60" w:firstLine="264" w:firstLineChars="110"/>
        <w:jc w:val="both"/>
        <w:rPr>
          <w:rFonts w:ascii="宋体" w:hAnsi="宋体" w:cs="宋体"/>
          <w:b/>
          <w:bCs/>
          <w:kern w:val="21"/>
          <w:szCs w:val="21"/>
        </w:rPr>
      </w:pPr>
      <w:r>
        <w:rPr>
          <w:rFonts w:ascii="宋体" w:hAnsi="宋体" w:cs="宋体"/>
          <w:kern w:val="21"/>
          <w:szCs w:val="21"/>
        </w:rPr>
        <w:t>(a)</w:t>
      </w:r>
      <w:r>
        <w:rPr>
          <w:rFonts w:hint="eastAsia" w:ascii="宋体" w:hAnsi="宋体" w:cs="宋体"/>
          <w:kern w:val="21"/>
          <w:szCs w:val="21"/>
        </w:rPr>
        <w:t>阀门应满足实验室内的纯度要求，端口与管子的内径尺寸相匹配，具有很好的密封性，在许多应用领域具有超凡的性能，工作压力达到1000PSI。</w:t>
      </w:r>
    </w:p>
    <w:p>
      <w:pPr>
        <w:pStyle w:val="5"/>
        <w:numPr>
          <w:ilvl w:val="2"/>
          <w:numId w:val="0"/>
        </w:numPr>
        <w:tabs>
          <w:tab w:val="left" w:pos="1505"/>
        </w:tabs>
        <w:spacing w:after="0"/>
        <w:ind w:left="400" w:right="60" w:firstLine="241" w:firstLineChars="100"/>
        <w:jc w:val="both"/>
        <w:rPr>
          <w:rFonts w:ascii="宋体" w:hAnsi="宋体" w:cs="宋体"/>
          <w:b/>
          <w:bCs/>
          <w:szCs w:val="21"/>
        </w:rPr>
      </w:pPr>
      <w:r>
        <w:rPr>
          <w:rFonts w:ascii="宋体" w:hAnsi="宋体" w:cs="宋体"/>
          <w:b/>
          <w:bCs/>
          <w:szCs w:val="21"/>
        </w:rPr>
        <w:t>(b)</w:t>
      </w:r>
      <w:r>
        <w:rPr>
          <w:rFonts w:hint="eastAsia" w:ascii="宋体" w:hAnsi="宋体" w:cs="宋体"/>
          <w:b/>
          <w:bCs/>
          <w:szCs w:val="21"/>
        </w:rPr>
        <w:t xml:space="preserve"> ★产品须提供第三方检测机构出具的检测报告复印件并加盖生产厂家公章（检测依据：GB/T 13927-2008 《工业阀门 压力试验》：气体壳体试验，检测结果为无结构损伤、无可见渗漏；气体低压密封试验，检测结果为无结构损伤、无可见泄漏；</w:t>
      </w:r>
    </w:p>
    <w:p>
      <w:pPr>
        <w:pStyle w:val="5"/>
        <w:numPr>
          <w:ilvl w:val="2"/>
          <w:numId w:val="0"/>
        </w:numPr>
        <w:tabs>
          <w:tab w:val="left" w:pos="425"/>
          <w:tab w:val="left" w:pos="1505"/>
        </w:tabs>
        <w:spacing w:after="0"/>
        <w:ind w:left="400" w:right="60" w:firstLine="241" w:firstLineChars="100"/>
        <w:jc w:val="both"/>
        <w:rPr>
          <w:rFonts w:ascii="宋体" w:hAnsi="宋体" w:cs="宋体"/>
          <w:b/>
          <w:bCs/>
          <w:kern w:val="2"/>
          <w:szCs w:val="21"/>
        </w:rPr>
      </w:pPr>
      <w:r>
        <w:rPr>
          <w:rFonts w:ascii="宋体" w:hAnsi="宋体" w:cs="宋体"/>
          <w:b/>
          <w:bCs/>
          <w:kern w:val="2"/>
          <w:szCs w:val="21"/>
        </w:rPr>
        <w:t>(c)</w:t>
      </w:r>
      <w:r>
        <w:rPr>
          <w:rFonts w:hint="eastAsia" w:ascii="宋体" w:hAnsi="宋体" w:cs="宋体"/>
          <w:b/>
          <w:bCs/>
          <w:kern w:val="2"/>
          <w:szCs w:val="21"/>
        </w:rPr>
        <w:t xml:space="preserve"> 产品</w:t>
      </w:r>
      <w:r>
        <w:rPr>
          <w:rFonts w:hint="eastAsia" w:ascii="宋体" w:hAnsi="宋体" w:cs="宋体"/>
          <w:b/>
          <w:bCs/>
          <w:kern w:val="2"/>
          <w:szCs w:val="21"/>
          <w:highlight w:val="none"/>
        </w:rPr>
        <w:t>须提供第</w:t>
      </w:r>
      <w:r>
        <w:rPr>
          <w:rFonts w:ascii="宋体" w:hAnsi="宋体" w:cs="宋体"/>
          <w:b/>
          <w:bCs/>
          <w:kern w:val="2"/>
          <w:szCs w:val="21"/>
          <w:highlight w:val="none"/>
        </w:rPr>
        <w:t>三方检测机构出具的</w:t>
      </w:r>
      <w:r>
        <w:rPr>
          <w:rFonts w:hint="eastAsia" w:ascii="宋体" w:hAnsi="宋体" w:cs="宋体"/>
          <w:b/>
          <w:bCs/>
          <w:kern w:val="2"/>
          <w:szCs w:val="21"/>
        </w:rPr>
        <w:t>检测报告复印件并加盖生产厂家公章，气密保压测试，气密保压测试标准：测试压力（介质高纯氦气He）:≤2300Psig Drop≤1%，检测结果为无变形、无破裂；无泄漏、无渗透。</w:t>
      </w:r>
    </w:p>
    <w:p>
      <w:pPr>
        <w:pStyle w:val="5"/>
        <w:numPr>
          <w:ilvl w:val="2"/>
          <w:numId w:val="0"/>
        </w:numPr>
        <w:tabs>
          <w:tab w:val="left" w:pos="425"/>
          <w:tab w:val="left" w:pos="1505"/>
        </w:tabs>
        <w:spacing w:after="0"/>
        <w:ind w:left="400" w:right="60"/>
        <w:rPr>
          <w:rFonts w:ascii="宋体" w:hAnsi="宋体" w:cs="宋体"/>
          <w:b/>
          <w:bCs/>
          <w:kern w:val="21"/>
          <w:szCs w:val="21"/>
        </w:rPr>
      </w:pPr>
      <w:r>
        <w:rPr>
          <w:rFonts w:hint="eastAsia" w:ascii="宋体" w:hAnsi="宋体" w:cs="宋体"/>
          <w:b/>
          <w:bCs/>
          <w:kern w:val="21"/>
          <w:szCs w:val="21"/>
        </w:rPr>
        <w:t>（</w:t>
      </w:r>
      <w:r>
        <w:rPr>
          <w:rFonts w:ascii="宋体" w:hAnsi="宋体" w:cs="宋体"/>
          <w:b/>
          <w:bCs/>
          <w:kern w:val="21"/>
          <w:szCs w:val="21"/>
        </w:rPr>
        <w:t>4</w:t>
      </w:r>
      <w:r>
        <w:rPr>
          <w:rFonts w:hint="eastAsia" w:ascii="宋体" w:hAnsi="宋体" w:cs="宋体"/>
          <w:b/>
          <w:bCs/>
          <w:kern w:val="21"/>
          <w:szCs w:val="21"/>
        </w:rPr>
        <w:t>）阻火阀</w:t>
      </w:r>
    </w:p>
    <w:p>
      <w:pPr>
        <w:pStyle w:val="5"/>
        <w:numPr>
          <w:ilvl w:val="2"/>
          <w:numId w:val="0"/>
        </w:numPr>
        <w:tabs>
          <w:tab w:val="left" w:pos="425"/>
          <w:tab w:val="left" w:pos="1505"/>
        </w:tabs>
        <w:spacing w:after="0"/>
        <w:ind w:left="400" w:right="60" w:firstLine="240" w:firstLineChars="100"/>
        <w:rPr>
          <w:rFonts w:ascii="宋体" w:hAnsi="宋体" w:cs="宋体"/>
          <w:kern w:val="21"/>
          <w:szCs w:val="21"/>
          <w:highlight w:val="none"/>
        </w:rPr>
      </w:pPr>
      <w:r>
        <w:rPr>
          <w:rFonts w:hint="eastAsia" w:ascii="宋体" w:hAnsi="宋体" w:cs="宋体"/>
          <w:kern w:val="21"/>
          <w:szCs w:val="21"/>
        </w:rPr>
        <w:t>（a) 当管道中的介质压力降低时，可能会因为介质的倒流而导致明火介质源头而引起着火或爆炸；最大允许工作压力为：150psi（37℃）；进出口尺寸：1/4”NPT；1/2”NPT。不锈钢材质。</w:t>
      </w:r>
    </w:p>
    <w:p>
      <w:pPr>
        <w:pStyle w:val="5"/>
        <w:numPr>
          <w:ilvl w:val="2"/>
          <w:numId w:val="0"/>
        </w:numPr>
        <w:tabs>
          <w:tab w:val="left" w:pos="425"/>
          <w:tab w:val="left" w:pos="1505"/>
        </w:tabs>
        <w:spacing w:after="0"/>
        <w:ind w:left="400" w:right="60" w:firstLine="240" w:firstLineChars="100"/>
        <w:rPr>
          <w:rFonts w:ascii="宋体" w:hAnsi="宋体" w:cs="宋体"/>
          <w:b/>
          <w:bCs/>
          <w:kern w:val="2"/>
          <w:szCs w:val="21"/>
        </w:rPr>
      </w:pPr>
      <w:r>
        <w:rPr>
          <w:rFonts w:hint="eastAsia" w:ascii="宋体" w:hAnsi="宋体" w:cs="宋体"/>
          <w:kern w:val="21"/>
          <w:szCs w:val="21"/>
          <w:highlight w:val="none"/>
        </w:rPr>
        <w:t>（b)</w:t>
      </w:r>
      <w:r>
        <w:rPr>
          <w:rFonts w:hint="eastAsia" w:ascii="宋体" w:hAnsi="宋体" w:cs="宋体"/>
          <w:b/>
          <w:bCs/>
          <w:kern w:val="2"/>
          <w:szCs w:val="21"/>
          <w:highlight w:val="none"/>
        </w:rPr>
        <w:t xml:space="preserve"> </w:t>
      </w:r>
      <w:r>
        <w:rPr>
          <w:rFonts w:hint="eastAsia" w:ascii="宋体" w:hAnsi="宋体" w:cs="宋体"/>
          <w:b/>
          <w:bCs/>
          <w:szCs w:val="21"/>
          <w:highlight w:val="none"/>
        </w:rPr>
        <w:t>★</w:t>
      </w:r>
      <w:r>
        <w:rPr>
          <w:rFonts w:hint="eastAsia" w:ascii="宋体" w:hAnsi="宋体" w:cs="宋体"/>
          <w:b/>
          <w:bCs/>
          <w:kern w:val="2"/>
          <w:szCs w:val="21"/>
          <w:highlight w:val="none"/>
        </w:rPr>
        <w:t>产品须提供第</w:t>
      </w:r>
      <w:r>
        <w:rPr>
          <w:rFonts w:ascii="宋体" w:hAnsi="宋体" w:cs="宋体"/>
          <w:b/>
          <w:bCs/>
          <w:kern w:val="2"/>
          <w:szCs w:val="21"/>
          <w:highlight w:val="none"/>
        </w:rPr>
        <w:t>三方检测机构出具的</w:t>
      </w:r>
      <w:r>
        <w:rPr>
          <w:rFonts w:hint="eastAsia" w:ascii="宋体" w:hAnsi="宋体" w:cs="宋体"/>
          <w:b/>
          <w:bCs/>
          <w:kern w:val="2"/>
          <w:szCs w:val="21"/>
        </w:rPr>
        <w:t>检测报告复印件</w:t>
      </w:r>
      <w:r>
        <w:rPr>
          <w:rFonts w:hint="eastAsia" w:ascii="宋体" w:hAnsi="宋体" w:cs="宋体"/>
          <w:b/>
          <w:bCs/>
          <w:color w:val="auto"/>
          <w:kern w:val="2"/>
          <w:szCs w:val="21"/>
        </w:rPr>
        <w:t>并加盖生产厂</w:t>
      </w:r>
      <w:r>
        <w:rPr>
          <w:rFonts w:hint="eastAsia" w:ascii="宋体" w:hAnsi="宋体" w:cs="宋体"/>
          <w:b/>
          <w:bCs/>
          <w:kern w:val="2"/>
          <w:szCs w:val="21"/>
        </w:rPr>
        <w:t>家公章，气密保压测试，气密保压测试标准：测试压力（介质高纯氦气He）:≤</w:t>
      </w:r>
      <w:r>
        <w:rPr>
          <w:rFonts w:ascii="宋体" w:hAnsi="宋体" w:cs="宋体"/>
          <w:b/>
          <w:bCs/>
          <w:kern w:val="2"/>
          <w:szCs w:val="21"/>
        </w:rPr>
        <w:t>6</w:t>
      </w:r>
      <w:r>
        <w:rPr>
          <w:rFonts w:hint="eastAsia" w:ascii="宋体" w:hAnsi="宋体" w:cs="宋体"/>
          <w:b/>
          <w:bCs/>
          <w:kern w:val="2"/>
          <w:szCs w:val="21"/>
        </w:rPr>
        <w:t>00Psig Drop≤1%，测试时间2</w:t>
      </w:r>
      <w:r>
        <w:rPr>
          <w:rFonts w:ascii="宋体" w:hAnsi="宋体" w:cs="宋体"/>
          <w:b/>
          <w:bCs/>
          <w:kern w:val="2"/>
          <w:szCs w:val="21"/>
        </w:rPr>
        <w:t>4</w:t>
      </w:r>
      <w:r>
        <w:rPr>
          <w:rFonts w:hint="eastAsia" w:ascii="宋体" w:hAnsi="宋体" w:cs="宋体"/>
          <w:b/>
          <w:bCs/>
          <w:kern w:val="2"/>
          <w:szCs w:val="21"/>
        </w:rPr>
        <w:t>h，检测结果为无变形、无破裂；无泄漏、无渗透。</w:t>
      </w:r>
    </w:p>
    <w:p>
      <w:pPr>
        <w:pStyle w:val="6"/>
        <w:numPr>
          <w:ilvl w:val="2"/>
          <w:numId w:val="0"/>
        </w:numPr>
        <w:tabs>
          <w:tab w:val="left" w:pos="425"/>
        </w:tabs>
        <w:spacing w:after="0"/>
        <w:ind w:left="420"/>
        <w:rPr>
          <w:rFonts w:ascii="宋体" w:hAnsi="宋体" w:cs="宋体"/>
          <w:b/>
          <w:bCs/>
          <w:kern w:val="21"/>
          <w:szCs w:val="21"/>
        </w:rPr>
      </w:pPr>
      <w:r>
        <w:rPr>
          <w:rFonts w:hint="eastAsia" w:ascii="宋体" w:hAnsi="宋体" w:cs="宋体"/>
          <w:b/>
          <w:bCs/>
          <w:kern w:val="21"/>
          <w:szCs w:val="21"/>
        </w:rPr>
        <w:t>（</w:t>
      </w:r>
      <w:r>
        <w:rPr>
          <w:rFonts w:ascii="宋体" w:hAnsi="宋体" w:cs="宋体"/>
          <w:b/>
          <w:bCs/>
          <w:kern w:val="21"/>
          <w:szCs w:val="21"/>
        </w:rPr>
        <w:t>5</w:t>
      </w:r>
      <w:r>
        <w:rPr>
          <w:rFonts w:hint="eastAsia" w:ascii="宋体" w:hAnsi="宋体" w:cs="宋体"/>
          <w:b/>
          <w:bCs/>
          <w:kern w:val="21"/>
          <w:szCs w:val="21"/>
        </w:rPr>
        <w:t>）一氧化碳浓度报警</w:t>
      </w:r>
    </w:p>
    <w:p>
      <w:pPr>
        <w:ind w:left="720" w:leftChars="300"/>
        <w:rPr>
          <w:rFonts w:ascii="宋体" w:hAnsi="宋体" w:cs="宋体"/>
          <w:szCs w:val="21"/>
        </w:rPr>
      </w:pPr>
      <w:r>
        <w:rPr>
          <w:rFonts w:hint="eastAsia" w:ascii="宋体" w:hAnsi="宋体" w:cs="宋体"/>
          <w:szCs w:val="21"/>
        </w:rPr>
        <w:t>LCD浓度显示，LED状态指示：LCD现场浓度显示，LED现场状态指示，可实时显示探测器的运行状态；</w:t>
      </w:r>
    </w:p>
    <w:p>
      <w:pPr>
        <w:ind w:left="480" w:leftChars="200" w:firstLine="240" w:firstLineChars="100"/>
        <w:rPr>
          <w:rFonts w:ascii="宋体" w:hAnsi="宋体" w:cs="宋体"/>
          <w:szCs w:val="21"/>
        </w:rPr>
      </w:pPr>
      <w:r>
        <w:rPr>
          <w:rFonts w:hint="eastAsia" w:ascii="宋体" w:hAnsi="宋体" w:cs="宋体"/>
          <w:szCs w:val="21"/>
        </w:rPr>
        <w:t>供电电源：DC36V±15%；</w:t>
      </w:r>
    </w:p>
    <w:p>
      <w:pPr>
        <w:ind w:left="480" w:leftChars="200" w:firstLine="240" w:firstLineChars="100"/>
        <w:rPr>
          <w:rFonts w:ascii="宋体" w:hAnsi="宋体" w:cs="宋体"/>
          <w:szCs w:val="21"/>
        </w:rPr>
      </w:pPr>
      <w:r>
        <w:rPr>
          <w:rFonts w:hint="eastAsia" w:ascii="宋体" w:hAnsi="宋体" w:cs="宋体"/>
          <w:szCs w:val="21"/>
        </w:rPr>
        <w:t>最大功率：＜1W；</w:t>
      </w:r>
    </w:p>
    <w:p>
      <w:pPr>
        <w:ind w:left="480" w:leftChars="200" w:firstLine="240" w:firstLineChars="100"/>
        <w:rPr>
          <w:rFonts w:hint="eastAsia" w:ascii="宋体" w:hAnsi="宋体" w:cs="宋体"/>
          <w:szCs w:val="21"/>
        </w:rPr>
      </w:pPr>
      <w:r>
        <w:rPr>
          <w:rFonts w:hint="eastAsia" w:ascii="宋体" w:hAnsi="宋体" w:cs="宋体"/>
          <w:szCs w:val="21"/>
        </w:rPr>
        <w:t>准 确 度：±5%FS；</w:t>
      </w:r>
    </w:p>
    <w:p>
      <w:pPr>
        <w:ind w:left="480" w:leftChars="200" w:firstLine="240" w:firstLineChars="100"/>
        <w:rPr>
          <w:rFonts w:hint="eastAsia" w:ascii="宋体" w:hAnsi="宋体" w:cs="宋体"/>
          <w:szCs w:val="21"/>
        </w:rPr>
      </w:pPr>
      <w:r>
        <w:rPr>
          <w:rFonts w:hint="eastAsia" w:ascii="宋体" w:hAnsi="宋体" w:cs="宋体"/>
          <w:szCs w:val="21"/>
        </w:rPr>
        <w:t>响应时间：电化学式T90＜60s；</w:t>
      </w:r>
    </w:p>
    <w:p>
      <w:pPr>
        <w:ind w:left="480" w:leftChars="200" w:firstLine="240" w:firstLineChars="100"/>
        <w:rPr>
          <w:rFonts w:hint="eastAsia" w:ascii="宋体" w:hAnsi="宋体" w:cs="宋体"/>
          <w:szCs w:val="21"/>
        </w:rPr>
      </w:pPr>
      <w:r>
        <w:rPr>
          <w:rFonts w:hint="eastAsia" w:ascii="宋体" w:hAnsi="宋体" w:cs="宋体"/>
          <w:szCs w:val="21"/>
        </w:rPr>
        <w:t>防爆链接螺纹：G3/4″内螺纹；</w:t>
      </w:r>
    </w:p>
    <w:p>
      <w:pPr>
        <w:ind w:left="480" w:leftChars="200" w:firstLine="240" w:firstLineChars="100"/>
        <w:rPr>
          <w:rFonts w:hint="eastAsia" w:ascii="宋体" w:hAnsi="宋体" w:cs="宋体"/>
          <w:szCs w:val="21"/>
        </w:rPr>
      </w:pPr>
      <w:r>
        <w:rPr>
          <w:rFonts w:hint="eastAsia" w:ascii="宋体" w:hAnsi="宋体" w:cs="宋体"/>
          <w:szCs w:val="21"/>
        </w:rPr>
        <w:t>工作温度：-40℃～70℃；</w:t>
      </w:r>
    </w:p>
    <w:p>
      <w:pPr>
        <w:ind w:left="480" w:leftChars="200" w:firstLine="240" w:firstLineChars="100"/>
        <w:rPr>
          <w:rFonts w:hint="eastAsia" w:ascii="宋体" w:hAnsi="宋体" w:cs="宋体"/>
          <w:szCs w:val="21"/>
        </w:rPr>
      </w:pPr>
      <w:r>
        <w:rPr>
          <w:rFonts w:hint="eastAsia" w:ascii="宋体" w:hAnsi="宋体" w:cs="宋体"/>
          <w:szCs w:val="21"/>
        </w:rPr>
        <w:t>湿度范围：10%RH～95%RH；</w:t>
      </w:r>
    </w:p>
    <w:p>
      <w:pPr>
        <w:ind w:left="480" w:leftChars="200" w:firstLine="240" w:firstLineChars="100"/>
        <w:rPr>
          <w:rFonts w:hint="eastAsia" w:ascii="宋体" w:hAnsi="宋体" w:cs="宋体"/>
          <w:szCs w:val="21"/>
        </w:rPr>
      </w:pPr>
      <w:r>
        <w:rPr>
          <w:rFonts w:hint="eastAsia" w:ascii="宋体" w:hAnsi="宋体" w:cs="宋体"/>
          <w:szCs w:val="21"/>
        </w:rPr>
        <w:t>压力范围：86Kpa～106Kpa；</w:t>
      </w:r>
    </w:p>
    <w:p>
      <w:pPr>
        <w:ind w:left="480" w:leftChars="200" w:firstLine="240" w:firstLineChars="100"/>
        <w:rPr>
          <w:rFonts w:ascii="宋体" w:hAnsi="宋体" w:cs="宋体"/>
          <w:szCs w:val="21"/>
        </w:rPr>
      </w:pPr>
      <w:r>
        <w:rPr>
          <w:rFonts w:hint="eastAsia" w:ascii="宋体" w:hAnsi="宋体" w:cs="宋体"/>
          <w:szCs w:val="21"/>
        </w:rPr>
        <w:t>存储温度：-25℃～55℃。</w:t>
      </w:r>
    </w:p>
    <w:p>
      <w:pPr>
        <w:pStyle w:val="6"/>
        <w:numPr>
          <w:ilvl w:val="2"/>
          <w:numId w:val="0"/>
        </w:numPr>
        <w:tabs>
          <w:tab w:val="left" w:pos="425"/>
        </w:tabs>
        <w:spacing w:after="0"/>
        <w:ind w:left="420"/>
        <w:rPr>
          <w:rFonts w:ascii="宋体" w:hAnsi="宋体" w:cs="宋体"/>
          <w:b/>
          <w:bCs/>
          <w:kern w:val="21"/>
          <w:szCs w:val="21"/>
        </w:rPr>
      </w:pPr>
      <w:r>
        <w:rPr>
          <w:rFonts w:hint="eastAsia" w:ascii="宋体" w:hAnsi="宋体" w:cs="宋体"/>
          <w:b/>
          <w:bCs/>
          <w:kern w:val="21"/>
          <w:szCs w:val="21"/>
        </w:rPr>
        <w:t>（</w:t>
      </w:r>
      <w:r>
        <w:rPr>
          <w:rFonts w:ascii="宋体" w:hAnsi="宋体" w:cs="宋体"/>
          <w:b/>
          <w:bCs/>
          <w:kern w:val="21"/>
          <w:szCs w:val="21"/>
        </w:rPr>
        <w:t>6</w:t>
      </w:r>
      <w:r>
        <w:rPr>
          <w:rFonts w:hint="eastAsia" w:ascii="宋体" w:hAnsi="宋体" w:cs="宋体"/>
          <w:b/>
          <w:bCs/>
          <w:kern w:val="21"/>
          <w:szCs w:val="21"/>
        </w:rPr>
        <w:t>）质量流量计</w:t>
      </w:r>
    </w:p>
    <w:p>
      <w:pPr>
        <w:ind w:left="480" w:leftChars="200" w:firstLine="240" w:firstLineChars="100"/>
        <w:rPr>
          <w:rFonts w:hint="eastAsia" w:ascii="宋体" w:hAnsi="宋体" w:cs="宋体"/>
          <w:szCs w:val="21"/>
        </w:rPr>
      </w:pPr>
      <w:r>
        <w:rPr>
          <w:rFonts w:hint="eastAsia" w:ascii="宋体" w:hAnsi="宋体" w:cs="宋体"/>
          <w:szCs w:val="21"/>
        </w:rPr>
        <w:t>自带动态温度和压力补偿，长期温漂≤0.1%F.S./年；</w:t>
      </w:r>
    </w:p>
    <w:p>
      <w:pPr>
        <w:ind w:left="480" w:leftChars="200" w:firstLine="240" w:firstLineChars="100"/>
        <w:rPr>
          <w:rFonts w:hint="eastAsia" w:ascii="宋体" w:hAnsi="宋体" w:cs="宋体"/>
          <w:szCs w:val="21"/>
        </w:rPr>
      </w:pPr>
      <w:r>
        <w:rPr>
          <w:rFonts w:hint="eastAsia" w:ascii="宋体" w:hAnsi="宋体" w:cs="宋体"/>
          <w:szCs w:val="21"/>
        </w:rPr>
        <w:t>量程比达到500:1；</w:t>
      </w:r>
    </w:p>
    <w:p>
      <w:pPr>
        <w:ind w:left="480" w:leftChars="200" w:firstLine="240" w:firstLineChars="100"/>
        <w:rPr>
          <w:rFonts w:hint="eastAsia" w:ascii="宋体" w:hAnsi="宋体" w:cs="宋体"/>
          <w:szCs w:val="21"/>
        </w:rPr>
      </w:pPr>
      <w:r>
        <w:rPr>
          <w:rFonts w:hint="eastAsia" w:ascii="宋体" w:hAnsi="宋体" w:cs="宋体"/>
          <w:szCs w:val="21"/>
        </w:rPr>
        <w:t>响应速度快，最短50ms；</w:t>
      </w:r>
    </w:p>
    <w:p>
      <w:pPr>
        <w:ind w:left="480" w:leftChars="200" w:firstLine="240" w:firstLineChars="100"/>
        <w:rPr>
          <w:rFonts w:hint="eastAsia" w:ascii="宋体" w:hAnsi="宋体" w:cs="宋体"/>
          <w:szCs w:val="21"/>
        </w:rPr>
      </w:pPr>
      <w:r>
        <w:rPr>
          <w:rFonts w:hint="eastAsia" w:ascii="宋体" w:hAnsi="宋体" w:cs="宋体"/>
          <w:szCs w:val="21"/>
        </w:rPr>
        <w:t>最大流量：20sccm-100SLM 之间可选；</w:t>
      </w:r>
    </w:p>
    <w:p>
      <w:pPr>
        <w:ind w:left="480" w:leftChars="200" w:firstLine="240" w:firstLineChars="100"/>
        <w:rPr>
          <w:rFonts w:hint="eastAsia" w:ascii="宋体" w:hAnsi="宋体" w:cs="宋体"/>
          <w:szCs w:val="21"/>
        </w:rPr>
      </w:pPr>
      <w:r>
        <w:rPr>
          <w:rFonts w:hint="eastAsia" w:ascii="宋体" w:hAnsi="宋体" w:cs="宋体"/>
          <w:szCs w:val="21"/>
        </w:rPr>
        <w:t>精度：±1%F.S.；</w:t>
      </w:r>
    </w:p>
    <w:p>
      <w:pPr>
        <w:ind w:left="480" w:leftChars="200" w:firstLine="240" w:firstLineChars="100"/>
        <w:rPr>
          <w:rFonts w:hint="eastAsia" w:ascii="宋体" w:hAnsi="宋体" w:cs="宋体"/>
          <w:szCs w:val="21"/>
        </w:rPr>
      </w:pPr>
      <w:r>
        <w:rPr>
          <w:rFonts w:hint="eastAsia" w:ascii="宋体" w:hAnsi="宋体" w:cs="宋体"/>
          <w:szCs w:val="21"/>
        </w:rPr>
        <w:t>最大流量压损：＜300Pa；</w:t>
      </w:r>
    </w:p>
    <w:p>
      <w:pPr>
        <w:ind w:left="480" w:leftChars="200" w:firstLine="240" w:firstLineChars="100"/>
        <w:rPr>
          <w:rFonts w:hint="eastAsia" w:ascii="宋体" w:hAnsi="宋体" w:cs="宋体"/>
          <w:szCs w:val="21"/>
        </w:rPr>
      </w:pPr>
      <w:r>
        <w:rPr>
          <w:rFonts w:hint="eastAsia" w:ascii="宋体" w:hAnsi="宋体" w:cs="宋体"/>
          <w:szCs w:val="21"/>
        </w:rPr>
        <w:t>工作温度：-10℃～+55℃；</w:t>
      </w:r>
    </w:p>
    <w:p>
      <w:pPr>
        <w:ind w:left="480" w:leftChars="200" w:firstLine="240" w:firstLineChars="100"/>
        <w:rPr>
          <w:rFonts w:ascii="宋体" w:hAnsi="宋体" w:cs="宋体"/>
          <w:szCs w:val="21"/>
        </w:rPr>
      </w:pPr>
      <w:r>
        <w:rPr>
          <w:rFonts w:hint="eastAsia" w:ascii="宋体" w:hAnsi="宋体" w:cs="宋体"/>
          <w:szCs w:val="21"/>
        </w:rPr>
        <w:t>内置压力芯片：检测范围0-1.5MPa，精度0.25%。</w:t>
      </w:r>
    </w:p>
    <w:p>
      <w:pPr>
        <w:pStyle w:val="5"/>
        <w:numPr>
          <w:ilvl w:val="2"/>
          <w:numId w:val="0"/>
        </w:numPr>
        <w:tabs>
          <w:tab w:val="left" w:pos="425"/>
          <w:tab w:val="left" w:pos="1505"/>
        </w:tabs>
        <w:spacing w:after="0"/>
        <w:ind w:left="400" w:right="60"/>
        <w:rPr>
          <w:rFonts w:ascii="宋体" w:hAnsi="宋体" w:cs="宋体"/>
          <w:b/>
          <w:bCs/>
          <w:kern w:val="21"/>
          <w:szCs w:val="21"/>
        </w:rPr>
      </w:pPr>
      <w:r>
        <w:rPr>
          <w:rFonts w:hint="eastAsia" w:ascii="宋体" w:hAnsi="宋体" w:cs="宋体"/>
          <w:b/>
          <w:bCs/>
          <w:kern w:val="21"/>
          <w:szCs w:val="21"/>
        </w:rPr>
        <w:t>（</w:t>
      </w:r>
      <w:r>
        <w:rPr>
          <w:rFonts w:ascii="宋体" w:hAnsi="宋体" w:cs="宋体"/>
          <w:b/>
          <w:bCs/>
          <w:kern w:val="21"/>
          <w:szCs w:val="21"/>
        </w:rPr>
        <w:t>7</w:t>
      </w:r>
      <w:r>
        <w:rPr>
          <w:rFonts w:hint="eastAsia" w:ascii="宋体" w:hAnsi="宋体" w:cs="宋体"/>
          <w:b/>
          <w:bCs/>
          <w:kern w:val="21"/>
          <w:szCs w:val="21"/>
        </w:rPr>
        <w:t>）排空系统</w:t>
      </w:r>
    </w:p>
    <w:p>
      <w:pPr>
        <w:pStyle w:val="5"/>
        <w:numPr>
          <w:ilvl w:val="2"/>
          <w:numId w:val="0"/>
        </w:numPr>
        <w:tabs>
          <w:tab w:val="left" w:pos="425"/>
          <w:tab w:val="left" w:pos="1505"/>
        </w:tabs>
        <w:spacing w:after="0"/>
        <w:ind w:left="400" w:right="60" w:firstLine="480" w:firstLineChars="200"/>
        <w:rPr>
          <w:rFonts w:ascii="宋体" w:hAnsi="宋体" w:cs="宋体"/>
          <w:kern w:val="21"/>
          <w:szCs w:val="21"/>
        </w:rPr>
      </w:pPr>
      <w:r>
        <w:rPr>
          <w:rFonts w:hint="eastAsia" w:ascii="宋体" w:hAnsi="宋体" w:cs="宋体"/>
          <w:kern w:val="21"/>
          <w:szCs w:val="21"/>
        </w:rPr>
        <w:t>（a）钢瓶间气体汇流排排空系统上的管道阀件采用316L不锈钢材质，易燃和助燃气体要独立排空，管道采用内外光亮退火管(BA)，系统尽量减少弯头和死角以便减小排空气体的阻力和摩擦,排空系统与吹扫和进气系统不能互串气体，每个系统相通的地方使用单向阀来控制。排空管道要高于该层建筑高度2米以上，加一个防雨防尘装置。易燃易爆气体的排空系统要有良好的接地防止雷电和静电产生。</w:t>
      </w:r>
    </w:p>
    <w:p>
      <w:pPr>
        <w:pStyle w:val="5"/>
        <w:numPr>
          <w:ilvl w:val="2"/>
          <w:numId w:val="0"/>
        </w:numPr>
        <w:tabs>
          <w:tab w:val="left" w:pos="425"/>
          <w:tab w:val="left" w:pos="1505"/>
        </w:tabs>
        <w:spacing w:after="0"/>
        <w:ind w:left="400" w:right="60" w:firstLine="241" w:firstLineChars="100"/>
        <w:jc w:val="both"/>
        <w:rPr>
          <w:rFonts w:ascii="宋体" w:hAnsi="宋体" w:cs="宋体"/>
          <w:b/>
          <w:bCs/>
          <w:kern w:val="2"/>
          <w:szCs w:val="21"/>
        </w:rPr>
      </w:pPr>
      <w:r>
        <w:rPr>
          <w:rFonts w:hint="eastAsia" w:ascii="宋体" w:hAnsi="宋体" w:cs="宋体"/>
          <w:b/>
          <w:bCs/>
          <w:kern w:val="2"/>
          <w:szCs w:val="21"/>
        </w:rPr>
        <w:t xml:space="preserve">（b) </w:t>
      </w:r>
      <w:r>
        <w:rPr>
          <w:rFonts w:hint="eastAsia" w:ascii="宋体" w:hAnsi="宋体" w:cs="宋体"/>
          <w:b/>
          <w:bCs/>
          <w:szCs w:val="21"/>
        </w:rPr>
        <w:t>★</w:t>
      </w:r>
      <w:r>
        <w:rPr>
          <w:rFonts w:hint="eastAsia" w:ascii="宋体" w:hAnsi="宋体" w:cs="宋体"/>
          <w:b/>
          <w:bCs/>
          <w:kern w:val="2"/>
          <w:szCs w:val="21"/>
        </w:rPr>
        <w:t>提供B</w:t>
      </w:r>
      <w:r>
        <w:rPr>
          <w:rFonts w:ascii="宋体" w:hAnsi="宋体" w:cs="宋体"/>
          <w:b/>
          <w:bCs/>
          <w:kern w:val="2"/>
          <w:szCs w:val="21"/>
        </w:rPr>
        <w:t>A</w:t>
      </w:r>
      <w:r>
        <w:rPr>
          <w:rFonts w:hint="eastAsia" w:ascii="宋体" w:hAnsi="宋体" w:cs="宋体"/>
          <w:b/>
          <w:bCs/>
          <w:kern w:val="2"/>
          <w:szCs w:val="21"/>
        </w:rPr>
        <w:t>管化学元</w:t>
      </w:r>
      <w:r>
        <w:rPr>
          <w:rFonts w:hint="eastAsia" w:ascii="宋体" w:hAnsi="宋体" w:cs="宋体"/>
          <w:b/>
          <w:bCs/>
          <w:kern w:val="2"/>
          <w:szCs w:val="21"/>
          <w:highlight w:val="none"/>
        </w:rPr>
        <w:t>素第</w:t>
      </w:r>
      <w:r>
        <w:rPr>
          <w:rFonts w:ascii="宋体" w:hAnsi="宋体" w:cs="宋体"/>
          <w:b/>
          <w:bCs/>
          <w:kern w:val="2"/>
          <w:szCs w:val="21"/>
          <w:highlight w:val="none"/>
        </w:rPr>
        <w:t>三方检测机构出具的</w:t>
      </w:r>
      <w:r>
        <w:rPr>
          <w:rFonts w:hint="eastAsia" w:ascii="宋体" w:hAnsi="宋体" w:cs="宋体"/>
          <w:b/>
          <w:bCs/>
          <w:kern w:val="2"/>
          <w:szCs w:val="21"/>
          <w:highlight w:val="none"/>
        </w:rPr>
        <w:t>检</w:t>
      </w:r>
      <w:r>
        <w:rPr>
          <w:rFonts w:hint="eastAsia" w:ascii="宋体" w:hAnsi="宋体" w:cs="宋体"/>
          <w:b/>
          <w:bCs/>
          <w:kern w:val="2"/>
          <w:szCs w:val="21"/>
        </w:rPr>
        <w:t>测报告复印件并加盖生产厂家公章，检测依据：G</w:t>
      </w:r>
      <w:r>
        <w:rPr>
          <w:rFonts w:ascii="宋体" w:hAnsi="宋体" w:cs="宋体"/>
          <w:b/>
          <w:bCs/>
          <w:kern w:val="2"/>
          <w:szCs w:val="21"/>
        </w:rPr>
        <w:t>B/T11170-2008</w:t>
      </w:r>
      <w:r>
        <w:rPr>
          <w:rFonts w:hint="eastAsia" w:ascii="宋体" w:hAnsi="宋体" w:cs="宋体"/>
          <w:b/>
          <w:bCs/>
          <w:kern w:val="2"/>
          <w:szCs w:val="21"/>
        </w:rPr>
        <w:t>、G</w:t>
      </w:r>
      <w:r>
        <w:rPr>
          <w:rFonts w:ascii="宋体" w:hAnsi="宋体" w:cs="宋体"/>
          <w:b/>
          <w:bCs/>
          <w:kern w:val="2"/>
          <w:szCs w:val="21"/>
        </w:rPr>
        <w:t>B/T 20123-2006,</w:t>
      </w:r>
      <w:r>
        <w:rPr>
          <w:rFonts w:hint="eastAsia" w:ascii="宋体" w:hAnsi="宋体" w:cs="宋体"/>
          <w:b/>
          <w:bCs/>
          <w:kern w:val="2"/>
          <w:szCs w:val="21"/>
        </w:rPr>
        <w:t>检测项目：碳、硅、锰、磷、硫、铬、钼、镍，8种元素，检测结果符合3</w:t>
      </w:r>
      <w:r>
        <w:rPr>
          <w:rFonts w:ascii="宋体" w:hAnsi="宋体" w:cs="宋体"/>
          <w:b/>
          <w:bCs/>
          <w:kern w:val="2"/>
          <w:szCs w:val="21"/>
        </w:rPr>
        <w:t>16L</w:t>
      </w:r>
      <w:r>
        <w:rPr>
          <w:rFonts w:hint="eastAsia" w:ascii="宋体" w:hAnsi="宋体" w:cs="宋体"/>
          <w:b/>
          <w:bCs/>
          <w:kern w:val="2"/>
          <w:szCs w:val="21"/>
        </w:rPr>
        <w:t>钢的元素含量要求。</w:t>
      </w:r>
    </w:p>
    <w:p>
      <w:pPr>
        <w:pStyle w:val="6"/>
        <w:spacing w:before="120" w:beforeLines="50"/>
        <w:ind w:firstLine="241"/>
        <w:rPr>
          <w:rFonts w:hint="eastAsia"/>
          <w:highlight w:val="none"/>
        </w:rPr>
      </w:pPr>
      <w:r>
        <w:rPr>
          <w:rFonts w:hint="eastAsia" w:ascii="宋体" w:hAnsi="宋体" w:cs="宋体"/>
          <w:b/>
          <w:bCs/>
          <w:kern w:val="21"/>
          <w:szCs w:val="21"/>
          <w:highlight w:val="none"/>
        </w:rPr>
        <w:t>（8）防爆通风橱（不锈钢）</w:t>
      </w:r>
    </w:p>
    <w:p>
      <w:pPr>
        <w:pStyle w:val="6"/>
        <w:ind w:firstLine="720" w:firstLineChars="300"/>
        <w:rPr>
          <w:rFonts w:hint="eastAsia"/>
        </w:rPr>
      </w:pPr>
      <w:r>
        <w:rPr>
          <w:rFonts w:hint="eastAsia"/>
        </w:rPr>
        <w:t>台面材质：选用1.0mm厚不锈钢316L材质（耐酸碱）。</w:t>
      </w:r>
    </w:p>
    <w:p>
      <w:pPr>
        <w:pStyle w:val="6"/>
        <w:ind w:firstLine="720" w:firstLineChars="300"/>
        <w:rPr>
          <w:rFonts w:hint="eastAsia"/>
        </w:rPr>
      </w:pPr>
      <w:r>
        <w:rPr>
          <w:rFonts w:hint="eastAsia"/>
        </w:rPr>
        <w:t>柜身材质：采用优质1.0mm厚不锈钢304材质钢板冲折制作，（如需要表面经磷化等防腐处理后再经EPOXY环氧树脂粉体烤漆防腐蚀处理漆面厚度为0.07～0.08mm）。通风柜柜体内部空间净尺寸不小于650mm。</w:t>
      </w:r>
    </w:p>
    <w:p>
      <w:pPr>
        <w:pStyle w:val="6"/>
        <w:ind w:firstLine="720" w:firstLineChars="300"/>
        <w:rPr>
          <w:rFonts w:hint="eastAsia"/>
        </w:rPr>
      </w:pPr>
      <w:r>
        <w:rPr>
          <w:rFonts w:hint="eastAsia"/>
        </w:rPr>
        <w:t>内衬：采用1.0mm厚不锈钢304材质钢整体制作，</w:t>
      </w:r>
    </w:p>
    <w:p>
      <w:pPr>
        <w:pStyle w:val="6"/>
        <w:ind w:firstLine="720" w:firstLineChars="300"/>
        <w:rPr>
          <w:rFonts w:hint="eastAsia"/>
        </w:rPr>
      </w:pPr>
      <w:r>
        <w:rPr>
          <w:rFonts w:hint="eastAsia"/>
        </w:rPr>
        <w:t>导流板：采用1.0mm厚不锈钢304材质钢制作，装置于工作空间后方及上方处，由至少三片化学板组成，使得工作空间与排气管路连接处之间形成一个气室，将污染气体均匀的排出。</w:t>
      </w:r>
    </w:p>
    <w:p>
      <w:pPr>
        <w:pStyle w:val="6"/>
        <w:ind w:firstLine="720" w:firstLineChars="300"/>
        <w:rPr>
          <w:rFonts w:hint="eastAsia"/>
        </w:rPr>
      </w:pPr>
      <w:r>
        <w:rPr>
          <w:rFonts w:hint="eastAsia"/>
        </w:rPr>
        <w:t>集气风罩：采用1.0mm厚不锈钢304材质钢焊接成型。底部入口为长方形开口，顶部出口为圆形开口，管径配合风量要求。</w:t>
      </w:r>
    </w:p>
    <w:p>
      <w:pPr>
        <w:pStyle w:val="6"/>
        <w:ind w:firstLine="720" w:firstLineChars="300"/>
        <w:rPr>
          <w:rFonts w:hint="eastAsia"/>
        </w:rPr>
      </w:pPr>
      <w:r>
        <w:rPr>
          <w:rFonts w:hint="eastAsia"/>
        </w:rPr>
        <w:t>辅助半月形透气孔：采用优质1.0mm厚不锈钢304材质钢钢板冲折制作，（如需要表面经磷化等防腐处理后再经环氧树脂粉体烤漆防腐蚀处理，漆面厚度为0.07～0.08mm）。与侧板结合固定，增强结构之稳固性。面板下方设有长条半月型辅助透气孔，可于视窗开关或低位置时，提供气源，防止过高的面速度产生。且面板正下方设有两个Φ20mm高20mm（含）以上之橡胶缓冲垫，确保视窗当外力开关时，与风孔面板之过度碰撞。</w:t>
      </w:r>
    </w:p>
    <w:p>
      <w:pPr>
        <w:pStyle w:val="6"/>
        <w:ind w:firstLine="720" w:firstLineChars="300"/>
        <w:rPr>
          <w:rFonts w:hint="eastAsia"/>
        </w:rPr>
      </w:pPr>
      <w:r>
        <w:rPr>
          <w:rFonts w:hint="eastAsia"/>
        </w:rPr>
        <w:t>调节门系统：①视窗拉门：活动式垂直水平拉升拉门。②视窗玻璃：采用5mm厚钢化防爆玻璃，防止爆裂，飞散伤人。③视窗把手：不锈钢把手。④视窗外框：采2.0mm 厚（含）以上铝合金模铸成型，表面经EPOXY环氧树脂粉体烤漆防蚀处理，漆面厚度为0.07～0.08mm，与玻璃采四边包夹嵌入式结合，确保安全性及耐用性。⑤视窗悬吊索：采用Ф2.5mm（含）以上不锈钢索，每条钢索需承载450kg （含）以上不断裂。⑥配重：其上下行程采用静音轨道；</w:t>
      </w:r>
    </w:p>
    <w:p>
      <w:pPr>
        <w:pStyle w:val="6"/>
        <w:ind w:firstLine="720" w:firstLineChars="300"/>
        <w:rPr>
          <w:rFonts w:hint="eastAsia"/>
        </w:rPr>
      </w:pPr>
      <w:r>
        <w:rPr>
          <w:rFonts w:hint="eastAsia"/>
        </w:rPr>
        <w:t>基本配制：防爆控制开关、防爆电源插座*4套、防爆照明系统*1套</w:t>
      </w:r>
    </w:p>
    <w:p>
      <w:pPr>
        <w:pStyle w:val="6"/>
        <w:tabs>
          <w:tab w:val="left" w:pos="425"/>
        </w:tabs>
        <w:ind w:firstLine="0" w:firstLineChars="0"/>
        <w:rPr>
          <w:rFonts w:ascii="宋体" w:hAnsi="宋体" w:cs="宋体"/>
          <w:kern w:val="21"/>
          <w:szCs w:val="21"/>
        </w:rPr>
      </w:pPr>
      <w:r>
        <w:rPr>
          <w:rFonts w:hint="eastAsia"/>
        </w:rPr>
        <w:t xml:space="preserve"> </w:t>
      </w:r>
      <w:r>
        <w:t xml:space="preserve">   </w:t>
      </w:r>
      <w:r>
        <w:rPr>
          <w:rFonts w:ascii="宋体" w:hAnsi="宋体" w:cs="宋体"/>
          <w:b/>
          <w:bCs/>
          <w:kern w:val="21"/>
          <w:szCs w:val="21"/>
        </w:rPr>
        <w:t>3</w:t>
      </w:r>
      <w:r>
        <w:rPr>
          <w:rFonts w:hint="eastAsia" w:ascii="宋体" w:hAnsi="宋体" w:cs="宋体"/>
          <w:b/>
          <w:bCs/>
          <w:kern w:val="21"/>
          <w:szCs w:val="21"/>
        </w:rPr>
        <w:t>、气路安装验收</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bCs/>
          <w:szCs w:val="21"/>
        </w:rPr>
        <w:t>（1）</w:t>
      </w:r>
      <w:r>
        <w:rPr>
          <w:rFonts w:hint="eastAsia" w:ascii="宋体" w:hAnsi="宋体" w:cs="宋体"/>
          <w:kern w:val="21"/>
          <w:szCs w:val="21"/>
        </w:rPr>
        <w:t>施工焊接要求</w:t>
      </w:r>
      <w:r>
        <w:rPr>
          <w:rFonts w:hint="eastAsia" w:ascii="宋体" w:hAnsi="宋体" w:cs="宋体"/>
          <w:kern w:val="21"/>
          <w:szCs w:val="21"/>
        </w:rPr>
        <w:tab/>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焊接前自动焊接机的状况由制作焊接试样进行检查确认，每日开始工作和结束工作均需制作焊接试样，开始试样和结束试样需保存作为项目质量检验记录。自动焊接要符合以下条件:</w:t>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焊接认证：自动轨道焊接的技工拥有一定的焊接知识基础，持有焊机公司认证证书和国内相应证书。</w:t>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项目正式焊接施工前，业主和施工方一起进行自动轨道焊接技工认证（以项目采购材料规格、在现场洁净小屋内），焊接作业流程和焊接试样合格后方颁发项目焊接证书，才能许可在项目中操作焊接设备进行焊接。</w:t>
      </w:r>
    </w:p>
    <w:p>
      <w:pPr>
        <w:ind w:firstLine="480" w:firstLineChars="200"/>
        <w:rPr>
          <w:rFonts w:ascii="宋体" w:hAnsi="宋体" w:cs="宋体"/>
          <w:szCs w:val="21"/>
        </w:rPr>
      </w:pPr>
      <w:r>
        <w:rPr>
          <w:rFonts w:hint="eastAsia" w:ascii="宋体" w:hAnsi="宋体" w:cs="宋体"/>
          <w:kern w:val="21"/>
          <w:szCs w:val="21"/>
        </w:rPr>
        <w:t>自动焊接的管理：每天正式实施焊接工作前，焊工须对每台焊机的焊机所焊尺寸配管进行配管样本制作，交现场工程师进行评估和检查(评估检查的标准参见《焊接评定》)，</w:t>
      </w:r>
      <w:r>
        <w:rPr>
          <w:rFonts w:hint="eastAsia" w:ascii="宋体" w:hAnsi="宋体" w:cs="宋体"/>
          <w:szCs w:val="21"/>
        </w:rPr>
        <w:t>样本通过后才能进行焊接操作。如果遇到如下的情况必须再重新制作焊样：</w:t>
      </w:r>
    </w:p>
    <w:p>
      <w:pPr>
        <w:ind w:firstLine="480" w:firstLineChars="200"/>
        <w:rPr>
          <w:rFonts w:ascii="宋体" w:hAnsi="宋体" w:cs="宋体"/>
          <w:szCs w:val="21"/>
        </w:rPr>
      </w:pPr>
      <w:r>
        <w:rPr>
          <w:rFonts w:hint="eastAsia" w:ascii="宋体" w:hAnsi="宋体" w:cs="宋体"/>
          <w:szCs w:val="21"/>
        </w:rPr>
        <w:t>焊机主机关机后，再重新使用时应重做样品并检查。</w:t>
      </w:r>
    </w:p>
    <w:p>
      <w:pPr>
        <w:ind w:firstLine="480" w:firstLineChars="200"/>
        <w:rPr>
          <w:rFonts w:ascii="宋体" w:hAnsi="宋体" w:cs="宋体"/>
          <w:szCs w:val="21"/>
        </w:rPr>
      </w:pPr>
      <w:r>
        <w:rPr>
          <w:rFonts w:hint="eastAsia" w:ascii="宋体" w:hAnsi="宋体" w:cs="宋体"/>
          <w:szCs w:val="21"/>
        </w:rPr>
        <w:t>更换另外的焊头后，再重新使用时应重做样品并检查。</w:t>
      </w:r>
    </w:p>
    <w:p>
      <w:pPr>
        <w:ind w:firstLine="480" w:firstLineChars="200"/>
        <w:rPr>
          <w:rFonts w:ascii="宋体" w:hAnsi="宋体" w:cs="宋体"/>
          <w:szCs w:val="21"/>
        </w:rPr>
      </w:pPr>
      <w:r>
        <w:rPr>
          <w:rFonts w:hint="eastAsia" w:ascii="宋体" w:hAnsi="宋体" w:cs="宋体"/>
          <w:szCs w:val="21"/>
        </w:rPr>
        <w:t>更换新的钨极，再重新使用时应重做样品并检查。</w:t>
      </w:r>
    </w:p>
    <w:p>
      <w:pPr>
        <w:ind w:firstLine="480" w:firstLineChars="200"/>
        <w:rPr>
          <w:rFonts w:ascii="宋体" w:hAnsi="宋体" w:cs="宋体"/>
          <w:szCs w:val="21"/>
        </w:rPr>
      </w:pPr>
      <w:r>
        <w:rPr>
          <w:rFonts w:hint="eastAsia" w:ascii="宋体" w:hAnsi="宋体" w:cs="宋体"/>
          <w:szCs w:val="21"/>
        </w:rPr>
        <w:t>焊接另外尺寸的管道，再重新使用时应重做样品并检查。</w:t>
      </w:r>
    </w:p>
    <w:p>
      <w:pPr>
        <w:ind w:firstLine="480" w:firstLineChars="200"/>
        <w:rPr>
          <w:rFonts w:ascii="宋体" w:hAnsi="宋体" w:cs="宋体"/>
          <w:szCs w:val="21"/>
        </w:rPr>
      </w:pPr>
      <w:r>
        <w:rPr>
          <w:rFonts w:hint="eastAsia" w:ascii="宋体" w:hAnsi="宋体" w:cs="宋体"/>
          <w:szCs w:val="21"/>
        </w:rPr>
        <w:t>改变焊接参数后，再重新使用时应重做样品并检查。</w:t>
      </w:r>
    </w:p>
    <w:p>
      <w:pPr>
        <w:ind w:firstLine="480" w:firstLineChars="200"/>
        <w:rPr>
          <w:rFonts w:ascii="宋体" w:hAnsi="宋体" w:cs="宋体"/>
          <w:szCs w:val="21"/>
        </w:rPr>
      </w:pPr>
      <w:r>
        <w:rPr>
          <w:rFonts w:hint="eastAsia" w:ascii="宋体" w:hAnsi="宋体" w:cs="宋体"/>
          <w:szCs w:val="21"/>
        </w:rPr>
        <w:t>更换吹扫保护气体后。</w:t>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用于评估的焊接工作的样本须按照样本制作条件与判定结果单制作及评估焊接样本必须对其 进行永久性的标记，标记内容需要至少包含以下内容：试样编号、焊接日期、焊工编号、管道材质、焊机序列号、焊头序列号、记录人等。</w:t>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管道在施工结束前，管内需始终充有高纯氩，以防治空气中的水份和氧的进入。</w:t>
      </w:r>
    </w:p>
    <w:p>
      <w:pPr>
        <w:pStyle w:val="5"/>
        <w:numPr>
          <w:ilvl w:val="2"/>
          <w:numId w:val="0"/>
        </w:numPr>
        <w:tabs>
          <w:tab w:val="left" w:pos="425"/>
          <w:tab w:val="left" w:pos="1505"/>
        </w:tabs>
        <w:spacing w:after="0"/>
        <w:ind w:right="60" w:firstLine="480" w:firstLineChars="200"/>
        <w:rPr>
          <w:rFonts w:ascii="宋体" w:hAnsi="宋体" w:cs="宋体"/>
          <w:kern w:val="21"/>
          <w:szCs w:val="21"/>
        </w:rPr>
      </w:pPr>
      <w:r>
        <w:rPr>
          <w:rFonts w:hint="eastAsia" w:ascii="宋体" w:hAnsi="宋体" w:cs="宋体"/>
          <w:kern w:val="21"/>
          <w:szCs w:val="21"/>
        </w:rPr>
        <w:t>焊接检验员确定该焊缝为合格焊缝后，焊工应当在焊接检验记录表记录所有成品焊缝的焊接参数。此记录表至少应包括：焊缝号、早晨开始焊接时的焊接样品号、焊机型号、焊机序列号、焊接机头型号、焊接机头序列号、焊接母材类型、焊材尺寸、焊机操作工标识号、检验人员的签名。</w:t>
      </w:r>
      <w:r>
        <w:rPr>
          <w:rFonts w:hint="eastAsia" w:ascii="宋体" w:hAnsi="宋体" w:cs="宋体"/>
          <w:kern w:val="21"/>
          <w:szCs w:val="21"/>
        </w:rPr>
        <w:tab/>
      </w:r>
    </w:p>
    <w:p>
      <w:pPr>
        <w:pStyle w:val="5"/>
        <w:numPr>
          <w:ilvl w:val="2"/>
          <w:numId w:val="0"/>
        </w:numPr>
        <w:tabs>
          <w:tab w:val="left" w:pos="425"/>
          <w:tab w:val="left" w:pos="1505"/>
        </w:tabs>
        <w:spacing w:after="0"/>
        <w:ind w:right="60" w:firstLine="480" w:firstLineChars="200"/>
        <w:rPr>
          <w:rFonts w:ascii="宋体" w:hAnsi="宋体" w:cs="宋体"/>
          <w:kern w:val="21"/>
          <w:szCs w:val="21"/>
        </w:rPr>
      </w:pPr>
      <w:bookmarkStart w:id="22" w:name="_Toc358464725"/>
      <w:r>
        <w:rPr>
          <w:rFonts w:hint="eastAsia" w:ascii="宋体" w:hAnsi="宋体" w:cs="宋体"/>
          <w:kern w:val="21"/>
          <w:szCs w:val="21"/>
        </w:rPr>
        <w:t>焊接外表面按要求使用镜子和光照进行100%的全方位目视检查，以确保表面无缺陷，每一个焊接的检验结果将记录在焊接记录中。焊道的外表面宽度均匀，焊缝边缘整齐，有清晰的鱼鳞纹路，且外表面的突起与凹陷，小于壁厚的10% 。外表面呈黑色时该焊道为不合格焊缝。焊缝外表面宽度要大于管道壁厚3倍以上。焊道的内表面宽度均匀，焊缝边缘整齐，要求无内凹和氧化变色。内表面宽度要小于管道壁厚2倍。</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drawing>
          <wp:inline distT="0" distB="0" distL="114300" distR="114300">
            <wp:extent cx="1965325" cy="628015"/>
            <wp:effectExtent l="0" t="0" r="6350" b="635"/>
            <wp:docPr id="1"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图示&#10;&#10;描述已自动生成"/>
                    <pic:cNvPicPr>
                      <a:picLocks noChangeAspect="1"/>
                    </pic:cNvPicPr>
                  </pic:nvPicPr>
                  <pic:blipFill>
                    <a:blip r:embed="rId8"/>
                    <a:stretch>
                      <a:fillRect/>
                    </a:stretch>
                  </pic:blipFill>
                  <pic:spPr>
                    <a:xfrm>
                      <a:off x="0" y="0"/>
                      <a:ext cx="1965325" cy="628015"/>
                    </a:xfrm>
                    <a:prstGeom prst="rect">
                      <a:avLst/>
                    </a:prstGeom>
                    <a:noFill/>
                    <a:ln>
                      <a:noFill/>
                    </a:ln>
                  </pic:spPr>
                </pic:pic>
              </a:graphicData>
            </a:graphic>
          </wp:inline>
        </w:drawing>
      </w:r>
      <w:r>
        <w:rPr>
          <w:rFonts w:hint="eastAsia" w:ascii="宋体" w:hAnsi="宋体" w:cs="宋体"/>
          <w:kern w:val="21"/>
          <w:szCs w:val="21"/>
        </w:rPr>
        <w:t xml:space="preserve">  </w:t>
      </w:r>
      <w:r>
        <w:rPr>
          <w:rFonts w:hint="eastAsia" w:ascii="宋体" w:hAnsi="宋体" w:cs="宋体"/>
          <w:kern w:val="21"/>
          <w:szCs w:val="21"/>
        </w:rPr>
        <w:drawing>
          <wp:inline distT="0" distB="0" distL="114300" distR="114300">
            <wp:extent cx="2129155" cy="634365"/>
            <wp:effectExtent l="0" t="0" r="4445" b="3810"/>
            <wp:docPr id="2" name="图片 2" descr="圆圈&#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圆圈&#10;&#10;低可信度描述已自动生成"/>
                    <pic:cNvPicPr>
                      <a:picLocks noChangeAspect="1"/>
                    </pic:cNvPicPr>
                  </pic:nvPicPr>
                  <pic:blipFill>
                    <a:blip r:embed="rId9"/>
                    <a:stretch>
                      <a:fillRect/>
                    </a:stretch>
                  </pic:blipFill>
                  <pic:spPr>
                    <a:xfrm>
                      <a:off x="0" y="0"/>
                      <a:ext cx="2129155" cy="634365"/>
                    </a:xfrm>
                    <a:prstGeom prst="rect">
                      <a:avLst/>
                    </a:prstGeom>
                    <a:noFill/>
                    <a:ln>
                      <a:noFill/>
                    </a:ln>
                  </pic:spPr>
                </pic:pic>
              </a:graphicData>
            </a:graphic>
          </wp:inline>
        </w:drawing>
      </w:r>
    </w:p>
    <w:p>
      <w:pPr>
        <w:pStyle w:val="5"/>
        <w:numPr>
          <w:ilvl w:val="2"/>
          <w:numId w:val="0"/>
        </w:numPr>
        <w:tabs>
          <w:tab w:val="left" w:pos="425"/>
          <w:tab w:val="left" w:pos="1505"/>
        </w:tabs>
        <w:spacing w:after="0"/>
        <w:ind w:right="60" w:firstLine="1080" w:firstLineChars="600"/>
        <w:rPr>
          <w:rFonts w:ascii="宋体" w:hAnsi="宋体" w:cs="宋体"/>
          <w:kern w:val="21"/>
          <w:szCs w:val="21"/>
        </w:rPr>
      </w:pPr>
      <w:r>
        <w:rPr>
          <w:rFonts w:hint="eastAsia" w:ascii="宋体" w:hAnsi="宋体" w:cs="宋体"/>
          <w:kern w:val="21"/>
          <w:sz w:val="18"/>
          <w:szCs w:val="18"/>
        </w:rPr>
        <w:drawing>
          <wp:anchor distT="0" distB="0" distL="114300" distR="114300" simplePos="0" relativeHeight="251659264" behindDoc="0" locked="0" layoutInCell="1" allowOverlap="1">
            <wp:simplePos x="0" y="0"/>
            <wp:positionH relativeFrom="page">
              <wp:posOffset>1958975</wp:posOffset>
            </wp:positionH>
            <wp:positionV relativeFrom="paragraph">
              <wp:posOffset>245745</wp:posOffset>
            </wp:positionV>
            <wp:extent cx="375285" cy="1025525"/>
            <wp:effectExtent l="0" t="0" r="5715" b="3175"/>
            <wp:wrapTopAndBottom/>
            <wp:docPr id="3" name="图片 4" descr="模糊的黑白照&#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模糊的黑白照&#10;&#10;中度可信度描述已自动生成"/>
                    <pic:cNvPicPr>
                      <a:picLocks noChangeAspect="1"/>
                    </pic:cNvPicPr>
                  </pic:nvPicPr>
                  <pic:blipFill>
                    <a:blip r:embed="rId10"/>
                    <a:stretch>
                      <a:fillRect/>
                    </a:stretch>
                  </pic:blipFill>
                  <pic:spPr>
                    <a:xfrm>
                      <a:off x="0" y="0"/>
                      <a:ext cx="375285" cy="1025525"/>
                    </a:xfrm>
                    <a:prstGeom prst="rect">
                      <a:avLst/>
                    </a:prstGeom>
                    <a:noFill/>
                    <a:ln>
                      <a:noFill/>
                    </a:ln>
                  </pic:spPr>
                </pic:pic>
              </a:graphicData>
            </a:graphic>
          </wp:anchor>
        </w:drawing>
      </w:r>
      <w:r>
        <w:rPr>
          <w:rFonts w:hint="eastAsia" w:ascii="宋体" w:hAnsi="宋体" w:cs="宋体"/>
          <w:kern w:val="21"/>
          <w:szCs w:val="21"/>
        </w:rPr>
        <w:t>合格焊缝断面                   不合格焊缝断面（内凸）</w:t>
      </w:r>
    </w:p>
    <w:p>
      <w:pPr>
        <w:pStyle w:val="5"/>
        <w:numPr>
          <w:ilvl w:val="2"/>
          <w:numId w:val="0"/>
        </w:numPr>
        <w:tabs>
          <w:tab w:val="left" w:pos="425"/>
          <w:tab w:val="left" w:pos="1505"/>
        </w:tabs>
        <w:spacing w:after="0"/>
        <w:ind w:left="400" w:right="60" w:firstLine="360" w:firstLineChars="200"/>
        <w:rPr>
          <w:rFonts w:ascii="宋体" w:hAnsi="宋体" w:cs="宋体"/>
          <w:kern w:val="21"/>
          <w:szCs w:val="21"/>
        </w:rPr>
      </w:pPr>
      <w:r>
        <w:rPr>
          <w:rFonts w:hint="eastAsia" w:ascii="宋体" w:hAnsi="宋体" w:cs="宋体"/>
          <w:kern w:val="21"/>
          <w:sz w:val="18"/>
          <w:szCs w:val="18"/>
        </w:rPr>
        <w:drawing>
          <wp:anchor distT="0" distB="0" distL="114300" distR="114300" simplePos="0" relativeHeight="251660288" behindDoc="0" locked="0" layoutInCell="1" allowOverlap="1">
            <wp:simplePos x="0" y="0"/>
            <wp:positionH relativeFrom="page">
              <wp:posOffset>3773170</wp:posOffset>
            </wp:positionH>
            <wp:positionV relativeFrom="paragraph">
              <wp:posOffset>228600</wp:posOffset>
            </wp:positionV>
            <wp:extent cx="1834515" cy="523240"/>
            <wp:effectExtent l="0" t="0" r="3810" b="635"/>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a:stretch>
                      <a:fillRect/>
                    </a:stretch>
                  </pic:blipFill>
                  <pic:spPr>
                    <a:xfrm>
                      <a:off x="0" y="0"/>
                      <a:ext cx="1834515" cy="523240"/>
                    </a:xfrm>
                    <a:prstGeom prst="rect">
                      <a:avLst/>
                    </a:prstGeom>
                    <a:noFill/>
                    <a:ln>
                      <a:noFill/>
                    </a:ln>
                  </pic:spPr>
                </pic:pic>
              </a:graphicData>
            </a:graphic>
          </wp:anchor>
        </w:drawing>
      </w:r>
      <w:r>
        <w:rPr>
          <w:rFonts w:hint="eastAsia" w:ascii="宋体" w:hAnsi="宋体" w:cs="宋体"/>
          <w:kern w:val="21"/>
          <w:szCs w:val="21"/>
        </w:rPr>
        <w:t>合格焊缝外表面                    不合格焊缝断面（未焊透）</w:t>
      </w:r>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（2）焊接吹扫气体要求</w:t>
      </w:r>
      <w:bookmarkEnd w:id="22"/>
    </w:p>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焊接时使用气体为高纯氩气，对焊接及保护用氩气其出口处应达以下指标：</w:t>
      </w:r>
    </w:p>
    <w:tbl>
      <w:tblPr>
        <w:tblStyle w:val="9"/>
        <w:tblW w:w="6370" w:type="dxa"/>
        <w:jc w:val="center"/>
        <w:tblLayout w:type="fixed"/>
        <w:tblCellMar>
          <w:top w:w="0" w:type="dxa"/>
          <w:left w:w="108" w:type="dxa"/>
          <w:bottom w:w="0" w:type="dxa"/>
          <w:right w:w="108" w:type="dxa"/>
        </w:tblCellMar>
      </w:tblPr>
      <w:tblGrid>
        <w:gridCol w:w="3055"/>
        <w:gridCol w:w="3315"/>
      </w:tblGrid>
      <w:tr>
        <w:tblPrEx>
          <w:tblCellMar>
            <w:top w:w="0" w:type="dxa"/>
            <w:left w:w="108" w:type="dxa"/>
            <w:bottom w:w="0" w:type="dxa"/>
            <w:right w:w="108" w:type="dxa"/>
          </w:tblCellMar>
        </w:tblPrEx>
        <w:trPr>
          <w:trHeight w:val="279" w:hRule="atLeast"/>
          <w:jc w:val="center"/>
        </w:trPr>
        <w:tc>
          <w:tcPr>
            <w:tcW w:w="3055" w:type="dxa"/>
            <w:tcBorders>
              <w:top w:val="single" w:color="auto" w:sz="4" w:space="0"/>
              <w:left w:val="single" w:color="auto" w:sz="4" w:space="0"/>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360" w:right="60"/>
              <w:rPr>
                <w:rFonts w:ascii="宋体" w:hAnsi="宋体" w:cs="宋体"/>
                <w:kern w:val="21"/>
                <w:szCs w:val="21"/>
              </w:rPr>
            </w:pPr>
            <w:r>
              <w:rPr>
                <w:rFonts w:hint="eastAsia" w:ascii="宋体" w:hAnsi="宋体" w:cs="宋体"/>
                <w:kern w:val="21"/>
                <w:szCs w:val="21"/>
              </w:rPr>
              <w:t>氩气纯度不低于</w:t>
            </w:r>
          </w:p>
        </w:tc>
        <w:tc>
          <w:tcPr>
            <w:tcW w:w="3315" w:type="dxa"/>
            <w:tcBorders>
              <w:top w:val="single" w:color="auto" w:sz="4" w:space="0"/>
              <w:left w:val="nil"/>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99.999%</w:t>
            </w:r>
          </w:p>
        </w:tc>
      </w:tr>
      <w:tr>
        <w:tblPrEx>
          <w:tblCellMar>
            <w:top w:w="0" w:type="dxa"/>
            <w:left w:w="108" w:type="dxa"/>
            <w:bottom w:w="0" w:type="dxa"/>
            <w:right w:w="108" w:type="dxa"/>
          </w:tblCellMar>
        </w:tblPrEx>
        <w:trPr>
          <w:trHeight w:val="279" w:hRule="atLeast"/>
          <w:jc w:val="center"/>
        </w:trPr>
        <w:tc>
          <w:tcPr>
            <w:tcW w:w="3055" w:type="dxa"/>
            <w:tcBorders>
              <w:top w:val="nil"/>
              <w:left w:val="single" w:color="auto" w:sz="4" w:space="0"/>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360" w:right="60"/>
              <w:rPr>
                <w:rFonts w:ascii="宋体" w:hAnsi="宋体" w:cs="宋体"/>
                <w:kern w:val="21"/>
                <w:szCs w:val="21"/>
              </w:rPr>
            </w:pPr>
            <w:r>
              <w:rPr>
                <w:rFonts w:hint="eastAsia" w:ascii="宋体" w:hAnsi="宋体" w:cs="宋体"/>
                <w:kern w:val="21"/>
                <w:szCs w:val="21"/>
              </w:rPr>
              <w:t xml:space="preserve">氧含量不大于 </w:t>
            </w:r>
          </w:p>
        </w:tc>
        <w:tc>
          <w:tcPr>
            <w:tcW w:w="3315" w:type="dxa"/>
            <w:tcBorders>
              <w:top w:val="nil"/>
              <w:left w:val="nil"/>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10.0ppm</w:t>
            </w:r>
          </w:p>
        </w:tc>
      </w:tr>
      <w:tr>
        <w:tblPrEx>
          <w:tblCellMar>
            <w:top w:w="0" w:type="dxa"/>
            <w:left w:w="108" w:type="dxa"/>
            <w:bottom w:w="0" w:type="dxa"/>
            <w:right w:w="108" w:type="dxa"/>
          </w:tblCellMar>
        </w:tblPrEx>
        <w:trPr>
          <w:trHeight w:val="279" w:hRule="atLeast"/>
          <w:jc w:val="center"/>
        </w:trPr>
        <w:tc>
          <w:tcPr>
            <w:tcW w:w="3055" w:type="dxa"/>
            <w:tcBorders>
              <w:top w:val="nil"/>
              <w:left w:val="single" w:color="auto" w:sz="4" w:space="0"/>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360" w:right="60"/>
              <w:rPr>
                <w:rFonts w:ascii="宋体" w:hAnsi="宋体" w:cs="宋体"/>
                <w:kern w:val="21"/>
                <w:szCs w:val="21"/>
              </w:rPr>
            </w:pPr>
            <w:r>
              <w:rPr>
                <w:rFonts w:hint="eastAsia" w:ascii="宋体" w:hAnsi="宋体" w:cs="宋体"/>
                <w:kern w:val="21"/>
                <w:szCs w:val="21"/>
              </w:rPr>
              <w:t>水分含量不大于</w:t>
            </w:r>
          </w:p>
        </w:tc>
        <w:tc>
          <w:tcPr>
            <w:tcW w:w="3315" w:type="dxa"/>
            <w:tcBorders>
              <w:top w:val="nil"/>
              <w:left w:val="nil"/>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10.0ppm</w:t>
            </w:r>
          </w:p>
        </w:tc>
      </w:tr>
      <w:tr>
        <w:tblPrEx>
          <w:tblCellMar>
            <w:top w:w="0" w:type="dxa"/>
            <w:left w:w="108" w:type="dxa"/>
            <w:bottom w:w="0" w:type="dxa"/>
            <w:right w:w="108" w:type="dxa"/>
          </w:tblCellMar>
        </w:tblPrEx>
        <w:trPr>
          <w:trHeight w:val="459" w:hRule="atLeast"/>
          <w:jc w:val="center"/>
        </w:trPr>
        <w:tc>
          <w:tcPr>
            <w:tcW w:w="3055" w:type="dxa"/>
            <w:tcBorders>
              <w:top w:val="nil"/>
              <w:left w:val="single" w:color="auto" w:sz="4" w:space="0"/>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360" w:right="60"/>
              <w:rPr>
                <w:rFonts w:ascii="宋体" w:hAnsi="宋体" w:cs="宋体"/>
                <w:kern w:val="21"/>
                <w:szCs w:val="21"/>
              </w:rPr>
            </w:pPr>
            <w:r>
              <w:rPr>
                <w:rFonts w:hint="eastAsia" w:ascii="宋体" w:hAnsi="宋体" w:cs="宋体"/>
                <w:kern w:val="21"/>
                <w:szCs w:val="21"/>
              </w:rPr>
              <w:t>总的碳氢化合物不大于</w:t>
            </w:r>
          </w:p>
        </w:tc>
        <w:tc>
          <w:tcPr>
            <w:tcW w:w="3315" w:type="dxa"/>
            <w:tcBorders>
              <w:top w:val="nil"/>
              <w:left w:val="nil"/>
              <w:bottom w:val="single" w:color="auto" w:sz="4" w:space="0"/>
              <w:right w:val="single" w:color="auto" w:sz="4" w:space="0"/>
            </w:tcBorders>
            <w:noWrap w:val="0"/>
            <w:vAlign w:val="bottom"/>
          </w:tcPr>
          <w:p>
            <w:pPr>
              <w:pStyle w:val="5"/>
              <w:numPr>
                <w:ilvl w:val="2"/>
                <w:numId w:val="0"/>
              </w:numPr>
              <w:tabs>
                <w:tab w:val="left" w:pos="425"/>
                <w:tab w:val="left" w:pos="1505"/>
              </w:tabs>
              <w:spacing w:after="0"/>
              <w:ind w:left="400" w:right="60"/>
              <w:rPr>
                <w:rFonts w:ascii="宋体" w:hAnsi="宋体" w:cs="宋体"/>
                <w:kern w:val="21"/>
                <w:szCs w:val="21"/>
              </w:rPr>
            </w:pPr>
            <w:r>
              <w:rPr>
                <w:rFonts w:hint="eastAsia" w:ascii="宋体" w:hAnsi="宋体" w:cs="宋体"/>
                <w:kern w:val="21"/>
                <w:szCs w:val="21"/>
              </w:rPr>
              <w:t>10.0ppm</w:t>
            </w:r>
          </w:p>
        </w:tc>
      </w:tr>
    </w:tbl>
    <w:p>
      <w:pPr>
        <w:pStyle w:val="5"/>
        <w:numPr>
          <w:ilvl w:val="2"/>
          <w:numId w:val="0"/>
        </w:numPr>
        <w:tabs>
          <w:tab w:val="left" w:pos="425"/>
          <w:tab w:val="left" w:pos="1505"/>
        </w:tabs>
        <w:spacing w:after="0"/>
        <w:ind w:left="480" w:leftChars="200" w:right="62"/>
        <w:rPr>
          <w:rFonts w:ascii="宋体" w:hAnsi="宋体" w:cs="宋体"/>
          <w:kern w:val="21"/>
          <w:szCs w:val="21"/>
        </w:rPr>
      </w:pPr>
    </w:p>
    <w:p>
      <w:pPr>
        <w:pStyle w:val="5"/>
        <w:numPr>
          <w:ilvl w:val="2"/>
          <w:numId w:val="0"/>
        </w:numPr>
        <w:tabs>
          <w:tab w:val="left" w:pos="425"/>
          <w:tab w:val="left" w:pos="1505"/>
        </w:tabs>
        <w:spacing w:after="0"/>
        <w:ind w:left="480" w:leftChars="200" w:right="62"/>
        <w:rPr>
          <w:rFonts w:ascii="宋体" w:hAnsi="宋体" w:cs="宋体"/>
          <w:kern w:val="21"/>
          <w:szCs w:val="21"/>
        </w:rPr>
      </w:pPr>
      <w:r>
        <w:rPr>
          <w:rFonts w:hint="eastAsia" w:ascii="宋体" w:hAnsi="宋体" w:cs="宋体"/>
          <w:kern w:val="21"/>
          <w:szCs w:val="21"/>
        </w:rPr>
        <w:t>吹净气体分流筒使用高洁净度阀件。</w:t>
      </w:r>
    </w:p>
    <w:p>
      <w:pPr>
        <w:pStyle w:val="5"/>
        <w:numPr>
          <w:ilvl w:val="2"/>
          <w:numId w:val="0"/>
        </w:numPr>
        <w:tabs>
          <w:tab w:val="left" w:pos="425"/>
          <w:tab w:val="left" w:pos="1505"/>
        </w:tabs>
        <w:spacing w:after="0"/>
        <w:ind w:left="402" w:right="62"/>
        <w:rPr>
          <w:rFonts w:ascii="宋体" w:hAnsi="宋体" w:cs="宋体"/>
          <w:kern w:val="21"/>
          <w:szCs w:val="21"/>
        </w:rPr>
      </w:pPr>
      <w:bookmarkStart w:id="23" w:name="_Toc358464726"/>
      <w:r>
        <w:rPr>
          <w:rFonts w:hint="eastAsia" w:ascii="宋体" w:hAnsi="宋体" w:cs="宋体"/>
          <w:kern w:val="21"/>
          <w:szCs w:val="21"/>
        </w:rPr>
        <w:t>（3）验收测试要求</w:t>
      </w:r>
      <w:bookmarkEnd w:id="23"/>
    </w:p>
    <w:p>
      <w:pPr>
        <w:pStyle w:val="5"/>
        <w:numPr>
          <w:ilvl w:val="2"/>
          <w:numId w:val="0"/>
        </w:numPr>
        <w:tabs>
          <w:tab w:val="left" w:pos="425"/>
          <w:tab w:val="left" w:pos="1505"/>
        </w:tabs>
        <w:spacing w:after="0"/>
        <w:ind w:right="62" w:firstLine="480" w:firstLineChars="200"/>
        <w:rPr>
          <w:rFonts w:ascii="宋体" w:hAnsi="宋体" w:cs="宋体"/>
          <w:kern w:val="21"/>
          <w:szCs w:val="21"/>
        </w:rPr>
      </w:pPr>
      <w:bookmarkStart w:id="24" w:name="_Toc407696614"/>
      <w:r>
        <w:rPr>
          <w:rFonts w:hint="eastAsia" w:ascii="宋体" w:hAnsi="宋体" w:cs="宋体"/>
          <w:kern w:val="21"/>
          <w:szCs w:val="21"/>
        </w:rPr>
        <w:t>按照实际工作压力，依据国家工业管道安装及验收标准GB50235、GB50236的有关规定，对本项目气体管道压力试验及净化制定具体方案，程序如下：</w:t>
      </w:r>
      <w:bookmarkEnd w:id="24"/>
    </w:p>
    <w:p>
      <w:pPr>
        <w:pStyle w:val="5"/>
        <w:numPr>
          <w:ilvl w:val="2"/>
          <w:numId w:val="0"/>
        </w:numPr>
        <w:tabs>
          <w:tab w:val="left" w:pos="425"/>
          <w:tab w:val="left" w:pos="1505"/>
        </w:tabs>
        <w:spacing w:after="0"/>
        <w:ind w:right="62" w:firstLine="480" w:firstLineChars="200"/>
        <w:rPr>
          <w:rFonts w:ascii="宋体" w:hAnsi="宋体" w:cs="宋体"/>
          <w:szCs w:val="21"/>
        </w:rPr>
      </w:pPr>
      <w:r>
        <w:rPr>
          <w:rFonts w:hint="eastAsia" w:ascii="宋体" w:hAnsi="宋体" w:cs="宋体"/>
          <w:kern w:val="21"/>
          <w:szCs w:val="21"/>
        </w:rPr>
        <w:t>强度实验：试验时应逐步缓慢增加压力，当压力升至试验压力的50%时，如未发现异常或泄漏，继续按试验压力的10%逐级升压，每级稳压3mins，直至试验压力，稳压15mins，再将试验压力降至设计值，停压时间应根据查漏需要而定，以发泡剂检验不</w:t>
      </w:r>
      <w:r>
        <w:rPr>
          <w:rFonts w:hint="eastAsia" w:ascii="宋体" w:hAnsi="宋体" w:cs="宋体"/>
          <w:szCs w:val="21"/>
        </w:rPr>
        <w:t>泄漏为合格。</w:t>
      </w:r>
    </w:p>
    <w:p>
      <w:pPr>
        <w:ind w:firstLine="480" w:firstLineChars="200"/>
        <w:rPr>
          <w:rFonts w:ascii="宋体" w:hAnsi="宋体" w:cs="宋体"/>
          <w:szCs w:val="21"/>
        </w:rPr>
      </w:pPr>
      <w:r>
        <w:rPr>
          <w:rFonts w:hint="eastAsia" w:ascii="宋体" w:hAnsi="宋体" w:cs="宋体"/>
          <w:szCs w:val="21"/>
        </w:rPr>
        <w:t>气密性实验：用氮气对管道系统进行整体保压24小时，标压下压降≤0.02MPa为合格。</w:t>
      </w:r>
    </w:p>
    <w:p>
      <w:pPr>
        <w:ind w:firstLine="480" w:firstLineChars="200"/>
        <w:rPr>
          <w:rFonts w:ascii="宋体" w:hAnsi="宋体" w:cs="宋体"/>
          <w:szCs w:val="21"/>
        </w:rPr>
      </w:pPr>
      <w:r>
        <w:rPr>
          <w:rFonts w:hint="eastAsia" w:ascii="宋体" w:hAnsi="宋体" w:cs="宋体"/>
          <w:szCs w:val="21"/>
        </w:rPr>
        <w:t>洁净实验：管路中充入高纯氮气，关闭所有阀门，打开末端用干净白布遮住管口五分钟，如白布上无杂质和水份即为合格。</w:t>
      </w:r>
    </w:p>
    <w:p>
      <w:pPr>
        <w:rPr>
          <w:rFonts w:ascii="宋体" w:hAnsi="宋体" w:cs="宋体"/>
          <w:b/>
          <w:bCs/>
          <w:szCs w:val="21"/>
        </w:rPr>
      </w:pPr>
      <w:r>
        <w:rPr>
          <w:rFonts w:hint="eastAsia" w:ascii="宋体" w:hAnsi="宋体" w:cs="宋体"/>
          <w:b/>
          <w:bCs/>
          <w:szCs w:val="21"/>
        </w:rPr>
        <w:t>（三）配置清单</w:t>
      </w:r>
    </w:p>
    <w:tbl>
      <w:tblPr>
        <w:tblStyle w:val="9"/>
        <w:tblW w:w="9229" w:type="dxa"/>
        <w:tblInd w:w="93" w:type="dxa"/>
        <w:tblLayout w:type="fixed"/>
        <w:tblCellMar>
          <w:top w:w="0" w:type="dxa"/>
          <w:left w:w="108" w:type="dxa"/>
          <w:bottom w:w="0" w:type="dxa"/>
          <w:right w:w="108" w:type="dxa"/>
        </w:tblCellMar>
      </w:tblPr>
      <w:tblGrid>
        <w:gridCol w:w="19"/>
        <w:gridCol w:w="563"/>
        <w:gridCol w:w="2127"/>
        <w:gridCol w:w="39"/>
        <w:gridCol w:w="4352"/>
        <w:gridCol w:w="25"/>
        <w:gridCol w:w="828"/>
        <w:gridCol w:w="1276"/>
      </w:tblGrid>
      <w:tr>
        <w:tblPrEx>
          <w:tblCellMar>
            <w:top w:w="0" w:type="dxa"/>
            <w:left w:w="108" w:type="dxa"/>
            <w:bottom w:w="0" w:type="dxa"/>
            <w:right w:w="108" w:type="dxa"/>
          </w:tblCellMar>
        </w:tblPrEx>
        <w:trPr>
          <w:trHeight w:val="540" w:hRule="atLeast"/>
        </w:trPr>
        <w:tc>
          <w:tcPr>
            <w:tcW w:w="58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序号</w:t>
            </w:r>
          </w:p>
        </w:tc>
        <w:tc>
          <w:tcPr>
            <w:tcW w:w="216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采购品目名称</w:t>
            </w:r>
          </w:p>
        </w:tc>
        <w:tc>
          <w:tcPr>
            <w:tcW w:w="437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参考型号、详细的规格、配置、技术参数</w:t>
            </w:r>
          </w:p>
        </w:tc>
        <w:tc>
          <w:tcPr>
            <w:tcW w:w="8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单位</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数量</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气路系统</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高压软管</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进口气螺纹1/4"NPT(F)</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外丝光杆</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1/4"NPT*1/2"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主控球阀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c>
          <w:tcPr>
            <w:tcW w:w="853" w:type="dxa"/>
            <w:gridSpan w:val="2"/>
            <w:tcBorders>
              <w:top w:val="nil"/>
              <w:left w:val="nil"/>
              <w:bottom w:val="single" w:color="auto" w:sz="4" w:space="0"/>
              <w:right w:val="single" w:color="auto" w:sz="4" w:space="0"/>
            </w:tcBorders>
            <w:noWrap/>
            <w:vAlign w:val="top"/>
          </w:tcPr>
          <w:p>
            <w:pPr>
              <w:widowControl/>
              <w:jc w:val="center"/>
              <w:rPr>
                <w:rFonts w:hint="eastAsia"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28</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规格：1/4〞、进口最大压力：10MPA、出口压力调节范围：0-1MPA可调,哈斯合金膜片c276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12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13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14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规格：根据实际设备接口而定</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25</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二层</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主控球阀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144</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、出口压力调节范围：0-1MPA可调,哈斯合金膜片c276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78</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160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17</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80</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三层</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主控球阀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26</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规格：1/4〞、进口最大压力：10MPa、出口压力调节范围：0-1MP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13</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26</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四层</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57</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49</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28</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38</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69</w:t>
            </w:r>
          </w:p>
        </w:tc>
      </w:tr>
      <w:tr>
        <w:tblPrEx>
          <w:tblCellMar>
            <w:top w:w="0" w:type="dxa"/>
            <w:left w:w="108" w:type="dxa"/>
            <w:bottom w:w="0" w:type="dxa"/>
            <w:right w:w="108" w:type="dxa"/>
          </w:tblCellMar>
        </w:tblPrEx>
        <w:trPr>
          <w:gridBefore w:val="1"/>
          <w:wBefore w:w="19" w:type="dxa"/>
          <w:trHeight w:val="300" w:hRule="atLeast"/>
        </w:trPr>
        <w:tc>
          <w:tcPr>
            <w:tcW w:w="9210" w:type="dxa"/>
            <w:gridSpan w:val="7"/>
            <w:tcBorders>
              <w:top w:val="single" w:color="auto" w:sz="4" w:space="0"/>
              <w:left w:val="single" w:color="auto" w:sz="4" w:space="0"/>
              <w:bottom w:val="nil"/>
              <w:right w:val="nil"/>
            </w:tcBorders>
            <w:noWrap w:val="0"/>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五楼（二氧化碳）</w:t>
            </w:r>
          </w:p>
        </w:tc>
      </w:tr>
      <w:tr>
        <w:tblPrEx>
          <w:tblCellMar>
            <w:top w:w="0" w:type="dxa"/>
            <w:left w:w="108" w:type="dxa"/>
            <w:bottom w:w="0" w:type="dxa"/>
            <w:right w:w="108" w:type="dxa"/>
          </w:tblCellMar>
        </w:tblPrEx>
        <w:trPr>
          <w:gridBefore w:val="1"/>
          <w:wBefore w:w="19" w:type="dxa"/>
          <w:trHeight w:val="510"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2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球阀</w:t>
            </w:r>
          </w:p>
        </w:tc>
        <w:tc>
          <w:tcPr>
            <w:tcW w:w="4391"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规格：1/4"、耐压：1000PSI、连接方式：卡套</w:t>
            </w:r>
          </w:p>
        </w:tc>
        <w:tc>
          <w:tcPr>
            <w:tcW w:w="853"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102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二级减压阀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材质：316、规格：1/4〞、进口最大压力：10MP</w:t>
            </w:r>
            <w:r>
              <w:rPr>
                <w:rFonts w:ascii="宋体" w:hAnsi="宋体" w:cs="宋体"/>
                <w:color w:val="000000"/>
                <w:kern w:val="0"/>
                <w:szCs w:val="21"/>
              </w:rPr>
              <w:t>a</w:t>
            </w:r>
            <w:r>
              <w:rPr>
                <w:rFonts w:hint="eastAsia" w:ascii="宋体" w:hAnsi="宋体" w:cs="宋体"/>
                <w:color w:val="000000"/>
                <w:kern w:val="0"/>
                <w:szCs w:val="21"/>
              </w:rPr>
              <w:t>、出口压力调节范围：0-1MP</w:t>
            </w:r>
            <w:r>
              <w:rPr>
                <w:rFonts w:ascii="宋体" w:hAnsi="宋体" w:cs="宋体"/>
                <w:color w:val="000000"/>
                <w:kern w:val="0"/>
                <w:szCs w:val="21"/>
              </w:rPr>
              <w:t>a</w:t>
            </w:r>
            <w:r>
              <w:rPr>
                <w:rFonts w:hint="eastAsia" w:ascii="宋体" w:hAnsi="宋体" w:cs="宋体"/>
                <w:color w:val="000000"/>
                <w:kern w:val="0"/>
                <w:szCs w:val="21"/>
              </w:rPr>
              <w:t>可调,哈斯合金膜片c276</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铝合金/不锈钢安装面板</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51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规格：1/4"NPT*1/4"、耐压：1000PSI、连接方式：卡套</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材质：316L；规格：1/4"*1/4"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规格：根据实际设备接口而定</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Cs w:val="21"/>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cs="宋体"/>
                <w:b/>
                <w:bCs/>
                <w:kern w:val="0"/>
                <w:sz w:val="22"/>
                <w:szCs w:val="22"/>
              </w:rPr>
            </w:pPr>
            <w:r>
              <w:rPr>
                <w:rFonts w:hint="eastAsia" w:ascii="宋体" w:hAnsi="宋体" w:cs="宋体"/>
                <w:b/>
                <w:bCs/>
                <w:kern w:val="0"/>
                <w:sz w:val="22"/>
                <w:szCs w:val="22"/>
              </w:rPr>
              <w:t>六层</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规格：1/4"NPT*1/2"</w:t>
            </w:r>
          </w:p>
        </w:tc>
        <w:tc>
          <w:tcPr>
            <w:tcW w:w="853" w:type="dxa"/>
            <w:gridSpan w:val="2"/>
            <w:tcBorders>
              <w:top w:val="nil"/>
              <w:left w:val="nil"/>
              <w:bottom w:val="single" w:color="auto" w:sz="4" w:space="0"/>
              <w:right w:val="single" w:color="auto" w:sz="4" w:space="0"/>
            </w:tcBorders>
            <w:noWrap/>
            <w:vAlign w:val="top"/>
          </w:tcPr>
          <w:p>
            <w:pPr>
              <w:widowControl/>
              <w:ind w:firstLine="220" w:firstLineChars="100"/>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主控球阀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201</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402</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120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一氧化碳浓度报警</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响应时间：电化学式T90＜60s</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八层（815-816）</w:t>
            </w:r>
          </w:p>
        </w:tc>
      </w:tr>
      <w:tr>
        <w:tblPrEx>
          <w:tblCellMar>
            <w:top w:w="0" w:type="dxa"/>
            <w:left w:w="108" w:type="dxa"/>
            <w:bottom w:w="0" w:type="dxa"/>
            <w:right w:w="108" w:type="dxa"/>
          </w:tblCellMar>
        </w:tblPrEx>
        <w:trPr>
          <w:gridBefore w:val="1"/>
          <w:wBefore w:w="19" w:type="dxa"/>
          <w:trHeight w:val="81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二级减压阀组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规格：1/4"NPT*1/4"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36</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19</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1/2”BA</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560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1/4”BA</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200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等线" w:hAnsi="等线" w:eastAsia="等线" w:cs="宋体"/>
                <w:b/>
                <w:bCs/>
                <w:color w:val="000000"/>
                <w:kern w:val="0"/>
                <w:sz w:val="20"/>
                <w:szCs w:val="20"/>
              </w:rPr>
            </w:pPr>
            <w:r>
              <w:rPr>
                <w:rFonts w:hint="eastAsia" w:ascii="等线" w:hAnsi="等线" w:eastAsia="等线" w:cs="宋体"/>
                <w:b/>
                <w:bCs/>
                <w:color w:val="000000"/>
                <w:kern w:val="0"/>
                <w:sz w:val="20"/>
                <w:szCs w:val="20"/>
              </w:rPr>
              <w:t>8楼（811房间）</w:t>
            </w:r>
          </w:p>
        </w:tc>
      </w:tr>
      <w:tr>
        <w:tblPrEx>
          <w:tblCellMar>
            <w:top w:w="0" w:type="dxa"/>
            <w:left w:w="108" w:type="dxa"/>
            <w:bottom w:w="0" w:type="dxa"/>
            <w:right w:w="108" w:type="dxa"/>
          </w:tblCellMar>
        </w:tblPrEx>
        <w:trPr>
          <w:gridBefore w:val="1"/>
          <w:wBefore w:w="19" w:type="dxa"/>
          <w:trHeight w:val="72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二级减压阀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kern w:val="0"/>
                <w:sz w:val="22"/>
                <w:szCs w:val="22"/>
              </w:rPr>
              <w:t>材质：316、规格：1/4〞、进口最大压力：10MP</w:t>
            </w:r>
            <w:r>
              <w:rPr>
                <w:rFonts w:ascii="宋体" w:hAnsi="宋体" w:cs="宋体"/>
                <w:kern w:val="0"/>
                <w:sz w:val="22"/>
                <w:szCs w:val="22"/>
              </w:rPr>
              <w:t>a</w:t>
            </w:r>
            <w:r>
              <w:rPr>
                <w:rFonts w:hint="eastAsia" w:ascii="宋体" w:hAnsi="宋体" w:cs="宋体"/>
                <w:kern w:val="0"/>
                <w:sz w:val="22"/>
                <w:szCs w:val="22"/>
              </w:rPr>
              <w:t>、出口压力调节范围：0-1MP</w:t>
            </w:r>
            <w:r>
              <w:rPr>
                <w:rFonts w:ascii="宋体" w:hAnsi="宋体" w:cs="宋体"/>
                <w:kern w:val="0"/>
                <w:sz w:val="22"/>
                <w:szCs w:val="22"/>
              </w:rPr>
              <w:t>a</w:t>
            </w:r>
            <w:r>
              <w:rPr>
                <w:rFonts w:hint="eastAsia" w:ascii="宋体" w:hAnsi="宋体" w:cs="宋体"/>
                <w:kern w:val="0"/>
                <w:sz w:val="22"/>
                <w:szCs w:val="22"/>
              </w:rPr>
              <w:t>可调,哈斯合金膜片c276</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r>
      <w:tr>
        <w:tblPrEx>
          <w:tblCellMar>
            <w:top w:w="0" w:type="dxa"/>
            <w:left w:w="108" w:type="dxa"/>
            <w:bottom w:w="0" w:type="dxa"/>
            <w:right w:w="108" w:type="dxa"/>
          </w:tblCellMar>
        </w:tblPrEx>
        <w:trPr>
          <w:gridBefore w:val="1"/>
          <w:wBefore w:w="19" w:type="dxa"/>
          <w:trHeight w:val="48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规格：1/4"、耐压：1000PSI、连接方式：卡套</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铝合金/不锈钢安装面板</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r>
      <w:tr>
        <w:tblPrEx>
          <w:tblCellMar>
            <w:top w:w="0" w:type="dxa"/>
            <w:left w:w="108" w:type="dxa"/>
            <w:bottom w:w="0" w:type="dxa"/>
            <w:right w:w="108" w:type="dxa"/>
          </w:tblCellMar>
        </w:tblPrEx>
        <w:trPr>
          <w:gridBefore w:val="1"/>
          <w:wBefore w:w="19" w:type="dxa"/>
          <w:trHeight w:val="48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规格：1/4"NPT*1/4"、耐压：1000PSI、连接方式：卡套</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材质：316L；规格：1/4"*1/4"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20"/>
                <w:szCs w:val="20"/>
              </w:rPr>
            </w:pPr>
            <w:r>
              <w:rPr>
                <w:rFonts w:hint="eastAsia" w:ascii="等线" w:hAnsi="等线" w:eastAsia="等线" w:cs="宋体"/>
                <w:color w:val="000000"/>
                <w:kern w:val="0"/>
                <w:sz w:val="20"/>
                <w:szCs w:val="20"/>
              </w:rPr>
              <w:t>质量流量计</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20"/>
                <w:szCs w:val="20"/>
              </w:rPr>
            </w:pPr>
            <w:r>
              <w:rPr>
                <w:rFonts w:hint="eastAsia" w:ascii="等线" w:hAnsi="等线" w:eastAsia="等线" w:cs="宋体"/>
                <w:color w:val="000000"/>
                <w:kern w:val="0"/>
                <w:sz w:val="20"/>
                <w:szCs w:val="20"/>
              </w:rPr>
              <w:t>　</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20"/>
                <w:szCs w:val="20"/>
              </w:rPr>
            </w:pPr>
            <w:r>
              <w:rPr>
                <w:rFonts w:hint="eastAsia" w:ascii="等线" w:hAnsi="等线" w:eastAsia="等线" w:cs="宋体"/>
                <w:color w:val="000000"/>
                <w:kern w:val="0"/>
                <w:sz w:val="20"/>
                <w:szCs w:val="20"/>
              </w:rPr>
              <w:t>套</w:t>
            </w:r>
          </w:p>
        </w:tc>
        <w:tc>
          <w:tcPr>
            <w:tcW w:w="1276" w:type="dxa"/>
            <w:tcBorders>
              <w:top w:val="nil"/>
              <w:left w:val="nil"/>
              <w:bottom w:val="single" w:color="auto" w:sz="4" w:space="0"/>
              <w:right w:val="single" w:color="auto" w:sz="4" w:space="0"/>
            </w:tcBorders>
            <w:noWrap w:val="0"/>
            <w:vAlign w:val="center"/>
          </w:tcPr>
          <w:p>
            <w:pPr>
              <w:widowControl/>
              <w:jc w:val="center"/>
              <w:rPr>
                <w:rFonts w:ascii="等线" w:hAnsi="等线" w:eastAsia="等线" w:cs="宋体"/>
                <w:color w:val="000000"/>
                <w:kern w:val="0"/>
                <w:sz w:val="20"/>
                <w:szCs w:val="20"/>
              </w:rPr>
            </w:pPr>
            <w:r>
              <w:rPr>
                <w:rFonts w:hint="eastAsia" w:ascii="等线" w:hAnsi="等线" w:eastAsia="等线" w:cs="宋体"/>
                <w:color w:val="000000"/>
                <w:kern w:val="0"/>
                <w:sz w:val="20"/>
                <w:szCs w:val="20"/>
              </w:rPr>
              <w:t>3</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规格：根据实际设备接口而定</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nil"/>
            </w:tcBorders>
            <w:noWrap/>
            <w:vAlign w:val="center"/>
          </w:tcPr>
          <w:p>
            <w:pPr>
              <w:widowControl/>
              <w:jc w:val="center"/>
              <w:rPr>
                <w:rFonts w:ascii="等线" w:hAnsi="等线" w:eastAsia="等线" w:cs="宋体"/>
                <w:b/>
                <w:bCs/>
                <w:color w:val="000000"/>
                <w:kern w:val="0"/>
                <w:sz w:val="20"/>
                <w:szCs w:val="20"/>
              </w:rPr>
            </w:pPr>
            <w:r>
              <w:rPr>
                <w:rFonts w:hint="eastAsia" w:ascii="等线" w:hAnsi="等线" w:eastAsia="等线" w:cs="宋体"/>
                <w:b/>
                <w:bCs/>
                <w:color w:val="000000"/>
                <w:kern w:val="0"/>
                <w:sz w:val="20"/>
                <w:szCs w:val="20"/>
              </w:rPr>
              <w:t>8楼（812房间）</w:t>
            </w:r>
          </w:p>
        </w:tc>
      </w:tr>
      <w:tr>
        <w:tblPrEx>
          <w:tblCellMar>
            <w:top w:w="0" w:type="dxa"/>
            <w:left w:w="108" w:type="dxa"/>
            <w:bottom w:w="0" w:type="dxa"/>
            <w:right w:w="108" w:type="dxa"/>
          </w:tblCellMar>
        </w:tblPrEx>
        <w:trPr>
          <w:gridBefore w:val="1"/>
          <w:wBefore w:w="19" w:type="dxa"/>
          <w:trHeight w:val="72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二级减压阀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材质：316、规格：1/4〞、进口最大压力：10MP</w:t>
            </w:r>
            <w:r>
              <w:rPr>
                <w:rFonts w:ascii="宋体" w:hAnsi="宋体" w:cs="宋体"/>
                <w:color w:val="000000"/>
                <w:kern w:val="0"/>
                <w:sz w:val="20"/>
                <w:szCs w:val="20"/>
              </w:rPr>
              <w:t>a</w:t>
            </w:r>
            <w:r>
              <w:rPr>
                <w:rFonts w:hint="eastAsia" w:ascii="宋体" w:hAnsi="宋体" w:cs="宋体"/>
                <w:color w:val="000000"/>
                <w:kern w:val="0"/>
                <w:sz w:val="20"/>
                <w:szCs w:val="20"/>
              </w:rPr>
              <w:t>、出口压力调节范围：0-1MP</w:t>
            </w:r>
            <w:r>
              <w:rPr>
                <w:rFonts w:ascii="宋体" w:hAnsi="宋体" w:cs="宋体"/>
                <w:color w:val="000000"/>
                <w:kern w:val="0"/>
                <w:sz w:val="20"/>
                <w:szCs w:val="20"/>
              </w:rPr>
              <w:t>a</w:t>
            </w:r>
            <w:r>
              <w:rPr>
                <w:rFonts w:hint="eastAsia" w:ascii="宋体" w:hAnsi="宋体" w:cs="宋体"/>
                <w:color w:val="000000"/>
                <w:kern w:val="0"/>
                <w:sz w:val="20"/>
                <w:szCs w:val="20"/>
              </w:rPr>
              <w:t>可调,哈斯合金膜片c276</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CellMar>
            <w:top w:w="0" w:type="dxa"/>
            <w:left w:w="108" w:type="dxa"/>
            <w:bottom w:w="0" w:type="dxa"/>
            <w:right w:w="108" w:type="dxa"/>
          </w:tblCellMar>
        </w:tblPrEx>
        <w:trPr>
          <w:gridBefore w:val="1"/>
          <w:wBefore w:w="19" w:type="dxa"/>
          <w:trHeight w:val="48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球阀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规格：1/4"、耐压：1000PSI、连接方式：卡套</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二级面板</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铝合金/不锈钢安装面板</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CellMar>
            <w:top w:w="0" w:type="dxa"/>
            <w:left w:w="108" w:type="dxa"/>
            <w:bottom w:w="0" w:type="dxa"/>
            <w:right w:w="108" w:type="dxa"/>
          </w:tblCellMar>
        </w:tblPrEx>
        <w:trPr>
          <w:gridBefore w:val="1"/>
          <w:wBefore w:w="19" w:type="dxa"/>
          <w:trHeight w:val="480"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转换接头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规格：1/4"NPT*1/4"、耐压：1000PSI、连接方式：卡套</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27</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焊接三通</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材质：316L；规格：1/4"*1/4"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34</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焊接变径</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材质：316L；规格：1/2"*1/4"</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终端接头</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规格：根据实际设备接口而定</w:t>
            </w:r>
          </w:p>
        </w:tc>
        <w:tc>
          <w:tcPr>
            <w:tcW w:w="853" w:type="dxa"/>
            <w:gridSpan w:val="2"/>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45</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1/2“BA</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1/4“BA</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阻火阀</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规格：1/4"、连接方式：NPT</w:t>
            </w: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gridBefore w:val="1"/>
          <w:wBefore w:w="19" w:type="dxa"/>
          <w:trHeight w:val="735" w:hRule="atLeast"/>
        </w:trPr>
        <w:tc>
          <w:tcPr>
            <w:tcW w:w="563"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质量流量计</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p>
            <w:pPr>
              <w:widowControl/>
              <w:jc w:val="center"/>
              <w:rPr>
                <w:rFonts w:ascii="宋体" w:hAnsi="宋体" w:cs="宋体"/>
                <w:color w:val="000000"/>
                <w:kern w:val="0"/>
                <w:sz w:val="20"/>
                <w:szCs w:val="20"/>
              </w:rPr>
            </w:pPr>
          </w:p>
        </w:tc>
        <w:tc>
          <w:tcPr>
            <w:tcW w:w="853"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gridBefore w:val="1"/>
          <w:wBefore w:w="19" w:type="dxa"/>
          <w:trHeight w:val="118"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ascii="宋体" w:hAnsi="宋体" w:cs="宋体"/>
                <w:kern w:val="0"/>
                <w:sz w:val="22"/>
                <w:szCs w:val="22"/>
                <w:highlight w:val="none"/>
              </w:rPr>
              <w:t>14</w:t>
            </w:r>
          </w:p>
        </w:tc>
        <w:tc>
          <w:tcPr>
            <w:tcW w:w="2127"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szCs w:val="21"/>
                <w:highlight w:val="none"/>
              </w:rPr>
              <w:t>防爆通风橱</w:t>
            </w:r>
          </w:p>
        </w:tc>
        <w:tc>
          <w:tcPr>
            <w:tcW w:w="4391"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0"/>
                <w:szCs w:val="20"/>
                <w:highlight w:val="none"/>
              </w:rPr>
            </w:pPr>
            <w:r>
              <w:rPr>
                <w:rFonts w:hint="eastAsia"/>
                <w:highlight w:val="none"/>
              </w:rPr>
              <w:t>1500×850×2350mm</w:t>
            </w:r>
          </w:p>
        </w:tc>
        <w:tc>
          <w:tcPr>
            <w:tcW w:w="85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台</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2</w:t>
            </w:r>
          </w:p>
        </w:tc>
      </w:tr>
      <w:tr>
        <w:tblPrEx>
          <w:tblCellMar>
            <w:top w:w="0" w:type="dxa"/>
            <w:left w:w="108" w:type="dxa"/>
            <w:bottom w:w="0" w:type="dxa"/>
            <w:right w:w="108" w:type="dxa"/>
          </w:tblCellMar>
        </w:tblPrEx>
        <w:trPr>
          <w:gridBefore w:val="1"/>
          <w:wBefore w:w="19" w:type="dxa"/>
          <w:trHeight w:val="282"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ascii="宋体" w:hAnsi="宋体" w:cs="宋体"/>
                <w:kern w:val="0"/>
                <w:sz w:val="22"/>
                <w:szCs w:val="22"/>
                <w:highlight w:val="none"/>
              </w:rPr>
              <w:t>15</w:t>
            </w:r>
          </w:p>
        </w:tc>
        <w:tc>
          <w:tcPr>
            <w:tcW w:w="2127" w:type="dxa"/>
            <w:tcBorders>
              <w:top w:val="single" w:color="auto" w:sz="4" w:space="0"/>
              <w:left w:val="nil"/>
              <w:bottom w:val="single" w:color="auto" w:sz="4" w:space="0"/>
              <w:right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jc w:val="center"/>
              <w:rPr>
                <w:rFonts w:hint="eastAsia" w:ascii="宋体" w:hAnsi="宋体" w:cs="宋体"/>
                <w:color w:val="000000"/>
                <w:kern w:val="0"/>
                <w:sz w:val="20"/>
                <w:szCs w:val="20"/>
                <w:highlight w:val="none"/>
              </w:rPr>
            </w:pPr>
            <w:r>
              <w:rPr>
                <w:rFonts w:hint="eastAsia"/>
                <w:highlight w:val="none"/>
              </w:rPr>
              <w:t>-防爆开关</w:t>
            </w:r>
          </w:p>
        </w:tc>
        <w:tc>
          <w:tcPr>
            <w:tcW w:w="4391"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 xml:space="preserve"> </w:t>
            </w:r>
            <w:r>
              <w:rPr>
                <w:rFonts w:ascii="宋体" w:hAnsi="宋体" w:cs="宋体"/>
                <w:kern w:val="0"/>
                <w:sz w:val="22"/>
                <w:szCs w:val="22"/>
                <w:highlight w:val="none"/>
              </w:rPr>
              <w:t xml:space="preserve">         </w:t>
            </w:r>
            <w:r>
              <w:rPr>
                <w:rFonts w:hint="eastAsia" w:ascii="宋体" w:hAnsi="宋体" w:cs="宋体"/>
                <w:kern w:val="0"/>
                <w:sz w:val="22"/>
                <w:szCs w:val="22"/>
                <w:highlight w:val="none"/>
              </w:rPr>
              <w:t>防爆</w:t>
            </w:r>
          </w:p>
        </w:tc>
        <w:tc>
          <w:tcPr>
            <w:tcW w:w="85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套</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2</w:t>
            </w:r>
          </w:p>
        </w:tc>
      </w:tr>
      <w:tr>
        <w:tblPrEx>
          <w:tblCellMar>
            <w:top w:w="0" w:type="dxa"/>
            <w:left w:w="108" w:type="dxa"/>
            <w:bottom w:w="0" w:type="dxa"/>
            <w:right w:w="108" w:type="dxa"/>
          </w:tblCellMar>
        </w:tblPrEx>
        <w:trPr>
          <w:gridBefore w:val="1"/>
          <w:wBefore w:w="19" w:type="dxa"/>
          <w:trHeight w:val="290"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ascii="宋体" w:hAnsi="宋体" w:cs="宋体"/>
                <w:kern w:val="0"/>
                <w:sz w:val="22"/>
                <w:szCs w:val="22"/>
                <w:highlight w:val="none"/>
              </w:rPr>
              <w:t>16</w:t>
            </w:r>
          </w:p>
        </w:tc>
        <w:tc>
          <w:tcPr>
            <w:tcW w:w="2127" w:type="dxa"/>
            <w:tcBorders>
              <w:top w:val="single" w:color="auto" w:sz="4" w:space="0"/>
              <w:left w:val="nil"/>
              <w:bottom w:val="single" w:color="auto" w:sz="4" w:space="0"/>
              <w:right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jc w:val="center"/>
              <w:rPr>
                <w:rFonts w:hint="eastAsia" w:ascii="宋体" w:hAnsi="宋体" w:cs="宋体"/>
                <w:color w:val="000000"/>
                <w:kern w:val="0"/>
                <w:sz w:val="20"/>
                <w:szCs w:val="20"/>
                <w:highlight w:val="none"/>
              </w:rPr>
            </w:pPr>
            <w:r>
              <w:rPr>
                <w:rFonts w:hint="eastAsia"/>
                <w:highlight w:val="none"/>
              </w:rPr>
              <w:t>-防爆插座</w:t>
            </w:r>
          </w:p>
        </w:tc>
        <w:tc>
          <w:tcPr>
            <w:tcW w:w="4391"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kern w:val="0"/>
                <w:sz w:val="22"/>
                <w:szCs w:val="22"/>
                <w:highlight w:val="none"/>
              </w:rPr>
              <w:t xml:space="preserve"> </w:t>
            </w:r>
            <w:r>
              <w:rPr>
                <w:rFonts w:ascii="宋体" w:hAnsi="宋体" w:cs="宋体"/>
                <w:kern w:val="0"/>
                <w:sz w:val="22"/>
                <w:szCs w:val="22"/>
                <w:highlight w:val="none"/>
              </w:rPr>
              <w:t xml:space="preserve">          </w:t>
            </w:r>
            <w:r>
              <w:rPr>
                <w:rFonts w:hint="eastAsia" w:ascii="宋体" w:hAnsi="宋体" w:cs="宋体"/>
                <w:kern w:val="0"/>
                <w:sz w:val="22"/>
                <w:szCs w:val="22"/>
                <w:highlight w:val="none"/>
              </w:rPr>
              <w:t>防爆</w:t>
            </w:r>
          </w:p>
        </w:tc>
        <w:tc>
          <w:tcPr>
            <w:tcW w:w="85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个</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8</w:t>
            </w:r>
          </w:p>
        </w:tc>
      </w:tr>
      <w:tr>
        <w:tblPrEx>
          <w:tblCellMar>
            <w:top w:w="0" w:type="dxa"/>
            <w:left w:w="108" w:type="dxa"/>
            <w:bottom w:w="0" w:type="dxa"/>
            <w:right w:w="108" w:type="dxa"/>
          </w:tblCellMar>
        </w:tblPrEx>
        <w:trPr>
          <w:gridBefore w:val="1"/>
          <w:wBefore w:w="19" w:type="dxa"/>
          <w:trHeight w:val="306"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1</w:t>
            </w:r>
            <w:r>
              <w:rPr>
                <w:rFonts w:ascii="宋体" w:hAnsi="宋体" w:cs="宋体"/>
                <w:kern w:val="0"/>
                <w:sz w:val="22"/>
                <w:szCs w:val="22"/>
                <w:highlight w:val="none"/>
              </w:rPr>
              <w:t>7</w:t>
            </w:r>
          </w:p>
        </w:tc>
        <w:tc>
          <w:tcPr>
            <w:tcW w:w="2127" w:type="dxa"/>
            <w:tcBorders>
              <w:top w:val="single" w:color="auto" w:sz="4" w:space="0"/>
              <w:left w:val="nil"/>
              <w:bottom w:val="single" w:color="auto" w:sz="4" w:space="0"/>
              <w:right w:val="single" w:color="auto" w:sz="4" w:space="0"/>
            </w:tcBorders>
            <w:noWrap w:val="0"/>
            <w:vAlign w:val="center"/>
          </w:tcPr>
          <w:p>
            <w:pPr>
              <w:spacing w:line="20" w:lineRule="atLeast"/>
              <w:jc w:val="center"/>
              <w:rPr>
                <w:rFonts w:ascii="宋体" w:hAnsi="宋体" w:cs="宋体"/>
                <w:szCs w:val="21"/>
                <w:highlight w:val="none"/>
              </w:rPr>
            </w:pPr>
            <w:r>
              <w:rPr>
                <w:rFonts w:hint="eastAsia" w:ascii="宋体" w:hAnsi="宋体" w:cs="宋体"/>
                <w:szCs w:val="21"/>
                <w:highlight w:val="none"/>
              </w:rPr>
              <w:t>防爆通风橱配套</w:t>
            </w:r>
          </w:p>
          <w:p>
            <w:pPr>
              <w:jc w:val="center"/>
              <w:rPr>
                <w:rFonts w:hint="eastAsia" w:ascii="宋体" w:hAnsi="宋体" w:cs="宋体"/>
                <w:color w:val="000000"/>
                <w:kern w:val="0"/>
                <w:sz w:val="20"/>
                <w:szCs w:val="20"/>
                <w:highlight w:val="none"/>
              </w:rPr>
            </w:pPr>
            <w:r>
              <w:rPr>
                <w:rFonts w:hint="eastAsia"/>
                <w:highlight w:val="none"/>
              </w:rPr>
              <w:t>-防爆照明系统</w:t>
            </w:r>
          </w:p>
        </w:tc>
        <w:tc>
          <w:tcPr>
            <w:tcW w:w="4391" w:type="dxa"/>
            <w:gridSpan w:val="2"/>
            <w:tcBorders>
              <w:top w:val="single" w:color="auto" w:sz="4" w:space="0"/>
              <w:left w:val="nil"/>
              <w:bottom w:val="single" w:color="auto" w:sz="4" w:space="0"/>
              <w:right w:val="single" w:color="auto"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kern w:val="0"/>
                <w:sz w:val="22"/>
                <w:szCs w:val="22"/>
                <w:highlight w:val="none"/>
              </w:rPr>
              <w:t xml:space="preserve"> </w:t>
            </w:r>
            <w:r>
              <w:rPr>
                <w:rFonts w:ascii="宋体" w:hAnsi="宋体" w:cs="宋体"/>
                <w:kern w:val="0"/>
                <w:sz w:val="22"/>
                <w:szCs w:val="22"/>
                <w:highlight w:val="none"/>
              </w:rPr>
              <w:t xml:space="preserve">          </w:t>
            </w:r>
            <w:r>
              <w:rPr>
                <w:rFonts w:hint="eastAsia" w:ascii="宋体" w:hAnsi="宋体" w:cs="宋体"/>
                <w:kern w:val="0"/>
                <w:sz w:val="22"/>
                <w:szCs w:val="22"/>
                <w:highlight w:val="none"/>
              </w:rPr>
              <w:t>防爆</w:t>
            </w:r>
          </w:p>
        </w:tc>
        <w:tc>
          <w:tcPr>
            <w:tcW w:w="85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套</w:t>
            </w:r>
          </w:p>
        </w:tc>
        <w:tc>
          <w:tcPr>
            <w:tcW w:w="1276"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cs="宋体"/>
                <w:color w:val="000000"/>
                <w:kern w:val="0"/>
                <w:sz w:val="20"/>
                <w:szCs w:val="20"/>
                <w:highlight w:val="none"/>
              </w:rPr>
            </w:pPr>
            <w:r>
              <w:rPr>
                <w:rFonts w:hint="eastAsia" w:ascii="宋体" w:hAnsi="宋体" w:cs="宋体"/>
                <w:kern w:val="0"/>
                <w:sz w:val="22"/>
                <w:szCs w:val="22"/>
                <w:highlight w:val="none"/>
              </w:rPr>
              <w:t>2</w:t>
            </w:r>
          </w:p>
        </w:tc>
      </w:tr>
      <w:tr>
        <w:tblPrEx>
          <w:tblCellMar>
            <w:top w:w="0" w:type="dxa"/>
            <w:left w:w="108" w:type="dxa"/>
            <w:bottom w:w="0" w:type="dxa"/>
            <w:right w:w="108" w:type="dxa"/>
          </w:tblCellMar>
        </w:tblPrEx>
        <w:trPr>
          <w:gridBefore w:val="1"/>
          <w:wBefore w:w="19" w:type="dxa"/>
          <w:trHeight w:val="285" w:hRule="atLeast"/>
        </w:trPr>
        <w:tc>
          <w:tcPr>
            <w:tcW w:w="9210" w:type="dxa"/>
            <w:gridSpan w:val="7"/>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其他</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管道</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4680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管道</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top"/>
          </w:tcPr>
          <w:p>
            <w:pPr>
              <w:widowControl/>
              <w:jc w:val="center"/>
              <w:rPr>
                <w:rFonts w:ascii="宋体" w:hAnsi="宋体" w:cs="宋体"/>
                <w:kern w:val="0"/>
                <w:sz w:val="22"/>
                <w:szCs w:val="22"/>
              </w:rPr>
            </w:pPr>
            <w:r>
              <w:rPr>
                <w:rFonts w:hint="eastAsia" w:ascii="宋体" w:hAnsi="宋体" w:cs="宋体"/>
                <w:kern w:val="0"/>
                <w:sz w:val="22"/>
                <w:szCs w:val="22"/>
              </w:rPr>
              <w:t>米</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4360</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管夹</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规格：1/4"</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管夹</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规格：1/2"</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导轨</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配套</w:t>
            </w:r>
          </w:p>
        </w:tc>
        <w:tc>
          <w:tcPr>
            <w:tcW w:w="853"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件</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400</w:t>
            </w:r>
          </w:p>
        </w:tc>
      </w:tr>
      <w:tr>
        <w:tblPrEx>
          <w:tblCellMar>
            <w:top w:w="0" w:type="dxa"/>
            <w:left w:w="108" w:type="dxa"/>
            <w:bottom w:w="0" w:type="dxa"/>
            <w:right w:w="108" w:type="dxa"/>
          </w:tblCellMar>
        </w:tblPrEx>
        <w:trPr>
          <w:gridBefore w:val="1"/>
          <w:wBefore w:w="19" w:type="dxa"/>
          <w:trHeight w:val="603"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质量流量计</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精度±1%F.S.</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套</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37</w:t>
            </w:r>
          </w:p>
        </w:tc>
      </w:tr>
      <w:tr>
        <w:tblPrEx>
          <w:tblCellMar>
            <w:top w:w="0" w:type="dxa"/>
            <w:left w:w="108" w:type="dxa"/>
            <w:bottom w:w="0" w:type="dxa"/>
            <w:right w:w="108" w:type="dxa"/>
          </w:tblCellMar>
        </w:tblPrEx>
        <w:trPr>
          <w:gridBefore w:val="1"/>
          <w:wBefore w:w="19" w:type="dxa"/>
          <w:trHeight w:val="54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支架辅材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焊接调试，及焊接小样，所有气路辅材</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285"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8</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管道、线管、排线、焊接、搬送</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人工</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54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ascii="宋体" w:hAnsi="宋体" w:cs="宋体"/>
                <w:kern w:val="0"/>
                <w:sz w:val="22"/>
                <w:szCs w:val="22"/>
              </w:rPr>
              <w:t>9</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保压调试费</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管道系统调试、保压、吹扫、培训</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r>
        <w:tblPrEx>
          <w:tblCellMar>
            <w:top w:w="0" w:type="dxa"/>
            <w:left w:w="108" w:type="dxa"/>
            <w:bottom w:w="0" w:type="dxa"/>
            <w:right w:w="108" w:type="dxa"/>
          </w:tblCellMar>
        </w:tblPrEx>
        <w:trPr>
          <w:gridBefore w:val="1"/>
          <w:wBefore w:w="19" w:type="dxa"/>
          <w:trHeight w:val="540" w:hRule="atLeast"/>
        </w:trPr>
        <w:tc>
          <w:tcPr>
            <w:tcW w:w="563"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w:t>
            </w:r>
          </w:p>
        </w:tc>
        <w:tc>
          <w:tcPr>
            <w:tcW w:w="2127" w:type="dxa"/>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材料运输安装辅材</w:t>
            </w:r>
          </w:p>
        </w:tc>
        <w:tc>
          <w:tcPr>
            <w:tcW w:w="4391" w:type="dxa"/>
            <w:gridSpan w:val="2"/>
            <w:tcBorders>
              <w:top w:val="nil"/>
              <w:left w:val="nil"/>
              <w:bottom w:val="single" w:color="auto" w:sz="4" w:space="0"/>
              <w:right w:val="single" w:color="auto" w:sz="4" w:space="0"/>
            </w:tcBorders>
            <w:noWrap w:val="0"/>
            <w:vAlign w:val="center"/>
          </w:tcPr>
          <w:p>
            <w:pPr>
              <w:widowControl/>
              <w:jc w:val="center"/>
              <w:rPr>
                <w:rFonts w:ascii="宋体" w:hAnsi="宋体" w:cs="宋体"/>
                <w:kern w:val="0"/>
                <w:sz w:val="22"/>
                <w:szCs w:val="22"/>
              </w:rPr>
            </w:pPr>
            <w:r>
              <w:rPr>
                <w:rFonts w:hint="eastAsia" w:ascii="宋体" w:hAnsi="宋体" w:cs="宋体"/>
                <w:kern w:val="0"/>
                <w:sz w:val="22"/>
                <w:szCs w:val="22"/>
              </w:rPr>
              <w:t>管道、线管、排线、焊接、搬送；材料、工具、焊机</w:t>
            </w:r>
          </w:p>
        </w:tc>
        <w:tc>
          <w:tcPr>
            <w:tcW w:w="85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c>
          <w:tcPr>
            <w:tcW w:w="1276"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r>
    </w:tbl>
    <w:p>
      <w:pPr>
        <w:rPr>
          <w:rFonts w:hint="eastAsia"/>
        </w:rPr>
      </w:pPr>
    </w:p>
    <w:p>
      <w:pPr>
        <w:pStyle w:val="2"/>
        <w:rPr>
          <w:rFonts w:hint="eastAsia"/>
        </w:rPr>
        <w:sectPr>
          <w:headerReference r:id="rId5" w:type="default"/>
          <w:footerReference r:id="rId6" w:type="default"/>
          <w:pgSz w:w="11906" w:h="16838"/>
          <w:pgMar w:top="1417" w:right="1128" w:bottom="1417" w:left="1418" w:header="851" w:footer="420" w:gutter="0"/>
          <w:cols w:space="720" w:num="1"/>
          <w:docGrid w:linePitch="312" w:charSpace="0"/>
        </w:sectPr>
      </w:pPr>
    </w:p>
    <w:p>
      <w:pPr>
        <w:rPr>
          <w:rFonts w:hint="eastAsia"/>
        </w:rPr>
        <w:sectPr>
          <w:pgSz w:w="16838" w:h="11906" w:orient="landscape"/>
          <w:pgMar w:top="1418" w:right="1417" w:bottom="1128" w:left="1417" w:header="851" w:footer="420" w:gutter="0"/>
          <w:cols w:space="720" w:num="1"/>
          <w:docGrid w:linePitch="312" w:charSpace="0"/>
        </w:sectPr>
      </w:pPr>
      <w:r>
        <w:rPr>
          <w:rFonts w:hint="eastAsia"/>
        </w:rPr>
        <w:t>一层气路平面布置图</w:t>
      </w:r>
      <w:r>
        <w:rPr>
          <w:rFonts w:hint="eastAsia"/>
        </w:rPr>
        <w:drawing>
          <wp:inline distT="0" distB="0" distL="114300" distR="114300">
            <wp:extent cx="8764270" cy="5571490"/>
            <wp:effectExtent l="0" t="0" r="8255" b="635"/>
            <wp:docPr id="6" name="图片 3" descr="一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一层气路平面布置图_00"/>
                    <pic:cNvPicPr>
                      <a:picLocks noChangeAspect="1"/>
                    </pic:cNvPicPr>
                  </pic:nvPicPr>
                  <pic:blipFill>
                    <a:blip r:embed="rId12"/>
                    <a:stretch>
                      <a:fillRect/>
                    </a:stretch>
                  </pic:blipFill>
                  <pic:spPr>
                    <a:xfrm>
                      <a:off x="0" y="0"/>
                      <a:ext cx="8764270" cy="5571490"/>
                    </a:xfrm>
                    <a:prstGeom prst="rect">
                      <a:avLst/>
                    </a:prstGeom>
                    <a:noFill/>
                    <a:ln>
                      <a:noFill/>
                    </a:ln>
                  </pic:spPr>
                </pic:pic>
              </a:graphicData>
            </a:graphic>
          </wp:inline>
        </w:drawing>
      </w:r>
    </w:p>
    <w:p>
      <w:pPr>
        <w:pStyle w:val="2"/>
        <w:spacing w:line="240" w:lineRule="auto"/>
        <w:rPr>
          <w:rFonts w:hint="eastAsia"/>
        </w:rPr>
        <w:sectPr>
          <w:pgSz w:w="16838" w:h="11906" w:orient="landscape"/>
          <w:pgMar w:top="1418" w:right="1417" w:bottom="1128" w:left="1417" w:header="851" w:footer="420" w:gutter="0"/>
          <w:cols w:space="720" w:num="1"/>
          <w:docGrid w:linePitch="312" w:charSpace="0"/>
        </w:sectPr>
      </w:pPr>
      <w:r>
        <w:rPr>
          <w:rFonts w:hint="eastAsia"/>
        </w:rPr>
        <w:t>二层气路平面布置图</w:t>
      </w:r>
      <w:r>
        <w:rPr>
          <w:rFonts w:hint="eastAsia"/>
        </w:rPr>
        <w:drawing>
          <wp:inline distT="0" distB="0" distL="114300" distR="114300">
            <wp:extent cx="8860155" cy="5542915"/>
            <wp:effectExtent l="0" t="0" r="7620" b="635"/>
            <wp:docPr id="5" name="图片 4" descr="二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二层气路平面布置图_00"/>
                    <pic:cNvPicPr>
                      <a:picLocks noChangeAspect="1"/>
                    </pic:cNvPicPr>
                  </pic:nvPicPr>
                  <pic:blipFill>
                    <a:blip r:embed="rId13"/>
                    <a:stretch>
                      <a:fillRect/>
                    </a:stretch>
                  </pic:blipFill>
                  <pic:spPr>
                    <a:xfrm>
                      <a:off x="0" y="0"/>
                      <a:ext cx="8860155" cy="5542915"/>
                    </a:xfrm>
                    <a:prstGeom prst="rect">
                      <a:avLst/>
                    </a:prstGeom>
                    <a:noFill/>
                    <a:ln>
                      <a:noFill/>
                    </a:ln>
                  </pic:spPr>
                </pic:pic>
              </a:graphicData>
            </a:graphic>
          </wp:inline>
        </w:drawing>
      </w:r>
    </w:p>
    <w:p>
      <w:pPr>
        <w:rPr>
          <w:rFonts w:hint="eastAsia"/>
        </w:rPr>
        <w:sectPr>
          <w:pgSz w:w="16838" w:h="11906" w:orient="landscape"/>
          <w:pgMar w:top="1418" w:right="1417" w:bottom="1128" w:left="1417" w:header="851" w:footer="420" w:gutter="0"/>
          <w:cols w:space="720" w:num="1"/>
          <w:docGrid w:linePitch="312" w:charSpace="0"/>
        </w:sectPr>
      </w:pPr>
      <w:r>
        <w:rPr>
          <w:rFonts w:hint="eastAsia"/>
        </w:rPr>
        <w:t>三层气路平面布置图</w:t>
      </w:r>
      <w:r>
        <w:rPr>
          <w:rFonts w:hint="eastAsia"/>
        </w:rPr>
        <w:drawing>
          <wp:inline distT="0" distB="0" distL="114300" distR="114300">
            <wp:extent cx="8860155" cy="5567680"/>
            <wp:effectExtent l="0" t="0" r="7620" b="4445"/>
            <wp:docPr id="11" name="图片 5" descr="三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三层气路平面布置图_00"/>
                    <pic:cNvPicPr>
                      <a:picLocks noChangeAspect="1"/>
                    </pic:cNvPicPr>
                  </pic:nvPicPr>
                  <pic:blipFill>
                    <a:blip r:embed="rId14"/>
                    <a:stretch>
                      <a:fillRect/>
                    </a:stretch>
                  </pic:blipFill>
                  <pic:spPr>
                    <a:xfrm>
                      <a:off x="0" y="0"/>
                      <a:ext cx="8860155" cy="5567680"/>
                    </a:xfrm>
                    <a:prstGeom prst="rect">
                      <a:avLst/>
                    </a:prstGeom>
                    <a:noFill/>
                    <a:ln>
                      <a:noFill/>
                    </a:ln>
                  </pic:spPr>
                </pic:pic>
              </a:graphicData>
            </a:graphic>
          </wp:inline>
        </w:drawing>
      </w:r>
    </w:p>
    <w:p>
      <w:pPr>
        <w:pStyle w:val="2"/>
        <w:spacing w:line="240" w:lineRule="auto"/>
        <w:rPr>
          <w:rFonts w:hint="eastAsia"/>
        </w:rPr>
        <w:sectPr>
          <w:pgSz w:w="16838" w:h="11906" w:orient="landscape"/>
          <w:pgMar w:top="1418" w:right="1417" w:bottom="1128" w:left="1417" w:header="851" w:footer="420" w:gutter="0"/>
          <w:cols w:space="720" w:num="1"/>
          <w:docGrid w:linePitch="312" w:charSpace="0"/>
        </w:sectPr>
      </w:pPr>
      <w:r>
        <w:rPr>
          <w:rFonts w:hint="eastAsia"/>
        </w:rPr>
        <w:t>四层气路平面布置图</w:t>
      </w:r>
      <w:r>
        <w:rPr>
          <w:rFonts w:hint="eastAsia"/>
        </w:rPr>
        <w:drawing>
          <wp:inline distT="0" distB="0" distL="114300" distR="114300">
            <wp:extent cx="8859520" cy="5601335"/>
            <wp:effectExtent l="0" t="0" r="8255" b="8890"/>
            <wp:docPr id="8" name="图片 6" descr="四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四层气路平面布置图_00"/>
                    <pic:cNvPicPr>
                      <a:picLocks noChangeAspect="1"/>
                    </pic:cNvPicPr>
                  </pic:nvPicPr>
                  <pic:blipFill>
                    <a:blip r:embed="rId15"/>
                    <a:stretch>
                      <a:fillRect/>
                    </a:stretch>
                  </pic:blipFill>
                  <pic:spPr>
                    <a:xfrm>
                      <a:off x="0" y="0"/>
                      <a:ext cx="8859520" cy="5601335"/>
                    </a:xfrm>
                    <a:prstGeom prst="rect">
                      <a:avLst/>
                    </a:prstGeom>
                    <a:noFill/>
                    <a:ln>
                      <a:noFill/>
                    </a:ln>
                  </pic:spPr>
                </pic:pic>
              </a:graphicData>
            </a:graphic>
          </wp:inline>
        </w:drawing>
      </w:r>
    </w:p>
    <w:p>
      <w:pPr>
        <w:rPr>
          <w:rFonts w:hint="eastAsia"/>
        </w:rPr>
        <w:sectPr>
          <w:pgSz w:w="16838" w:h="11906" w:orient="landscape"/>
          <w:pgMar w:top="1418" w:right="1417" w:bottom="1128" w:left="1417" w:header="851" w:footer="420" w:gutter="0"/>
          <w:cols w:space="720" w:num="1"/>
          <w:docGrid w:linePitch="312" w:charSpace="0"/>
        </w:sectPr>
      </w:pPr>
      <w:r>
        <w:rPr>
          <w:rFonts w:hint="eastAsia"/>
        </w:rPr>
        <w:t>五层气路平面布置图</w:t>
      </w:r>
      <w:r>
        <w:rPr>
          <w:rFonts w:hint="eastAsia"/>
        </w:rPr>
        <w:drawing>
          <wp:inline distT="0" distB="0" distL="114300" distR="114300">
            <wp:extent cx="8859520" cy="5541645"/>
            <wp:effectExtent l="0" t="0" r="8255" b="1905"/>
            <wp:docPr id="9" name="图片 7" descr="五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五层气路平面布置图_00"/>
                    <pic:cNvPicPr>
                      <a:picLocks noChangeAspect="1"/>
                    </pic:cNvPicPr>
                  </pic:nvPicPr>
                  <pic:blipFill>
                    <a:blip r:embed="rId16"/>
                    <a:stretch>
                      <a:fillRect/>
                    </a:stretch>
                  </pic:blipFill>
                  <pic:spPr>
                    <a:xfrm>
                      <a:off x="0" y="0"/>
                      <a:ext cx="8859520" cy="5541645"/>
                    </a:xfrm>
                    <a:prstGeom prst="rect">
                      <a:avLst/>
                    </a:prstGeom>
                    <a:noFill/>
                    <a:ln>
                      <a:noFill/>
                    </a:ln>
                  </pic:spPr>
                </pic:pic>
              </a:graphicData>
            </a:graphic>
          </wp:inline>
        </w:drawing>
      </w:r>
    </w:p>
    <w:p>
      <w:pPr>
        <w:pStyle w:val="2"/>
        <w:spacing w:line="240" w:lineRule="auto"/>
        <w:rPr>
          <w:rFonts w:hint="eastAsia"/>
        </w:rPr>
        <w:sectPr>
          <w:pgSz w:w="16838" w:h="11906" w:orient="landscape"/>
          <w:pgMar w:top="1418" w:right="1417" w:bottom="1128" w:left="1417" w:header="851" w:footer="420" w:gutter="0"/>
          <w:cols w:space="720" w:num="1"/>
          <w:docGrid w:linePitch="312" w:charSpace="0"/>
        </w:sectPr>
      </w:pPr>
      <w:r>
        <w:rPr>
          <w:rFonts w:hint="eastAsia"/>
        </w:rPr>
        <w:t>六层气路平面布置图</w:t>
      </w:r>
      <w:r>
        <w:rPr>
          <w:rFonts w:hint="eastAsia"/>
        </w:rPr>
        <w:drawing>
          <wp:inline distT="0" distB="0" distL="114300" distR="114300">
            <wp:extent cx="8859520" cy="5585460"/>
            <wp:effectExtent l="0" t="0" r="8255" b="5715"/>
            <wp:docPr id="12" name="图片 8" descr="六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六层气路平面布置图_00"/>
                    <pic:cNvPicPr>
                      <a:picLocks noChangeAspect="1"/>
                    </pic:cNvPicPr>
                  </pic:nvPicPr>
                  <pic:blipFill>
                    <a:blip r:embed="rId17"/>
                    <a:stretch>
                      <a:fillRect/>
                    </a:stretch>
                  </pic:blipFill>
                  <pic:spPr>
                    <a:xfrm>
                      <a:off x="0" y="0"/>
                      <a:ext cx="8859520" cy="5585460"/>
                    </a:xfrm>
                    <a:prstGeom prst="rect">
                      <a:avLst/>
                    </a:prstGeom>
                    <a:noFill/>
                    <a:ln>
                      <a:noFill/>
                    </a:ln>
                  </pic:spPr>
                </pic:pic>
              </a:graphicData>
            </a:graphic>
          </wp:inline>
        </w:drawing>
      </w:r>
    </w:p>
    <w:p>
      <w:pPr>
        <w:rPr>
          <w:rFonts w:hint="eastAsia"/>
        </w:rPr>
        <w:sectPr>
          <w:pgSz w:w="16838" w:h="11906" w:orient="landscape"/>
          <w:pgMar w:top="1418" w:right="1417" w:bottom="1128" w:left="1417" w:header="851" w:footer="420" w:gutter="0"/>
          <w:cols w:space="720" w:num="1"/>
          <w:docGrid w:linePitch="312" w:charSpace="0"/>
        </w:sectPr>
      </w:pPr>
      <w:r>
        <w:rPr>
          <w:rFonts w:hint="eastAsia"/>
        </w:rPr>
        <w:t>七层气路平面布置图</w:t>
      </w:r>
      <w:r>
        <w:rPr>
          <w:rFonts w:hint="eastAsia"/>
        </w:rPr>
        <w:drawing>
          <wp:inline distT="0" distB="0" distL="114300" distR="114300">
            <wp:extent cx="8859520" cy="5591810"/>
            <wp:effectExtent l="0" t="0" r="8255" b="8890"/>
            <wp:docPr id="7" name="图片 9" descr="七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七层气路平面布置图_00"/>
                    <pic:cNvPicPr>
                      <a:picLocks noChangeAspect="1"/>
                    </pic:cNvPicPr>
                  </pic:nvPicPr>
                  <pic:blipFill>
                    <a:blip r:embed="rId18"/>
                    <a:stretch>
                      <a:fillRect/>
                    </a:stretch>
                  </pic:blipFill>
                  <pic:spPr>
                    <a:xfrm>
                      <a:off x="0" y="0"/>
                      <a:ext cx="8859520" cy="5591810"/>
                    </a:xfrm>
                    <a:prstGeom prst="rect">
                      <a:avLst/>
                    </a:prstGeom>
                    <a:noFill/>
                    <a:ln>
                      <a:noFill/>
                    </a:ln>
                  </pic:spPr>
                </pic:pic>
              </a:graphicData>
            </a:graphic>
          </wp:inline>
        </w:drawing>
      </w:r>
    </w:p>
    <w:p>
      <w:pPr>
        <w:pStyle w:val="2"/>
        <w:spacing w:line="240" w:lineRule="auto"/>
        <w:rPr>
          <w:rFonts w:hint="eastAsia"/>
        </w:rPr>
        <w:sectPr>
          <w:pgSz w:w="16838" w:h="11906" w:orient="landscape"/>
          <w:pgMar w:top="1418" w:right="1417" w:bottom="1128" w:left="1417" w:header="851" w:footer="420" w:gutter="0"/>
          <w:cols w:space="720" w:num="1"/>
          <w:docGrid w:linePitch="312" w:charSpace="0"/>
        </w:sectPr>
      </w:pPr>
      <w:r>
        <w:rPr>
          <w:rFonts w:hint="eastAsia"/>
        </w:rPr>
        <w:t>八层气路平面布置图</w:t>
      </w:r>
      <w:r>
        <w:rPr>
          <w:rFonts w:hint="eastAsia"/>
        </w:rPr>
        <w:drawing>
          <wp:inline distT="0" distB="0" distL="114300" distR="114300">
            <wp:extent cx="8859520" cy="5550535"/>
            <wp:effectExtent l="0" t="0" r="8255" b="2540"/>
            <wp:docPr id="10" name="图片 10" descr="八层气路平面布置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八层气路平面布置图_00"/>
                    <pic:cNvPicPr>
                      <a:picLocks noChangeAspect="1"/>
                    </pic:cNvPicPr>
                  </pic:nvPicPr>
                  <pic:blipFill>
                    <a:blip r:embed="rId19"/>
                    <a:stretch>
                      <a:fillRect/>
                    </a:stretch>
                  </pic:blipFill>
                  <pic:spPr>
                    <a:xfrm>
                      <a:off x="0" y="0"/>
                      <a:ext cx="8859520" cy="5550535"/>
                    </a:xfrm>
                    <a:prstGeom prst="rect">
                      <a:avLst/>
                    </a:prstGeom>
                    <a:noFill/>
                    <a:ln>
                      <a:noFill/>
                    </a:ln>
                  </pic:spPr>
                </pic:pic>
              </a:graphicData>
            </a:graphic>
          </wp:inline>
        </w:drawing>
      </w:r>
    </w:p>
    <w:p>
      <w:bookmarkStart w:id="25" w:name="_GoBack"/>
      <w:bookmarkEnd w:id="2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26</w:t>
    </w:r>
    <w:r>
      <w:fldChar w:fldCharType="end"/>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single" w:color="auto" w:sz="4" w:space="1"/>
        <w:right w:val="none" w:color="auto" w:sz="0" w:space="0"/>
      </w:pBdr>
      <w:spacing w:line="240" w:lineRule="auto"/>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wMTViYWQ0ZjZmMGM4MTM4ZjRlZDlhZDE3YjMzOWEifQ=="/>
  </w:docVars>
  <w:rsids>
    <w:rsidRoot w:val="36417117"/>
    <w:rsid w:val="15066A59"/>
    <w:rsid w:val="36417117"/>
    <w:rsid w:val="46A50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Calibri" w:hAnsi="Calibri" w:eastAsia="宋体" w:cs="Times New Roman"/>
      <w:kern w:val="2"/>
      <w:sz w:val="24"/>
      <w:szCs w:val="24"/>
      <w:lang w:val="en-US" w:eastAsia="zh-CN" w:bidi="ar-SA"/>
    </w:rPr>
  </w:style>
  <w:style w:type="paragraph" w:styleId="3">
    <w:name w:val="heading 1"/>
    <w:basedOn w:val="1"/>
    <w:next w:val="1"/>
    <w:qFormat/>
    <w:uiPriority w:val="0"/>
    <w:pPr>
      <w:keepNext/>
      <w:keepLines/>
      <w:spacing w:before="120" w:beforeLines="0" w:after="120" w:afterLines="0" w:line="360" w:lineRule="auto"/>
      <w:jc w:val="center"/>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adjustRightInd w:val="0"/>
      <w:spacing w:before="120" w:line="480" w:lineRule="exact"/>
      <w:textAlignment w:val="baseline"/>
    </w:pPr>
    <w:rPr>
      <w:rFonts w:ascii="Arial" w:hAnsi="Arial" w:cs="Arial"/>
      <w:sz w:val="24"/>
    </w:rPr>
  </w:style>
  <w:style w:type="paragraph" w:styleId="4">
    <w:name w:val="caption"/>
    <w:basedOn w:val="1"/>
    <w:next w:val="1"/>
    <w:qFormat/>
    <w:uiPriority w:val="0"/>
    <w:pPr>
      <w:spacing w:before="152" w:beforeLines="0" w:after="160" w:afterLines="0" w:line="300" w:lineRule="auto"/>
      <w:ind w:firstLine="200" w:firstLineChars="200"/>
    </w:pPr>
    <w:rPr>
      <w:rFonts w:ascii="Arial" w:hAnsi="Arial" w:eastAsia="黑体"/>
    </w:rPr>
  </w:style>
  <w:style w:type="paragraph" w:styleId="5">
    <w:name w:val="Body Text"/>
    <w:basedOn w:val="1"/>
    <w:next w:val="6"/>
    <w:uiPriority w:val="0"/>
    <w:pPr>
      <w:spacing w:after="120" w:afterLines="0"/>
    </w:pPr>
    <w:rPr>
      <w:kern w:val="0"/>
    </w:rPr>
  </w:style>
  <w:style w:type="paragraph" w:styleId="6">
    <w:name w:val="Body Text First Indent"/>
    <w:basedOn w:val="5"/>
    <w:qFormat/>
    <w:uiPriority w:val="99"/>
    <w:pPr>
      <w:ind w:firstLine="420" w:firstLineChars="100"/>
    </w:pPr>
  </w:style>
  <w:style w:type="paragraph" w:styleId="7">
    <w:name w:val="footer"/>
    <w:basedOn w:val="1"/>
    <w:uiPriority w:val="99"/>
    <w:pPr>
      <w:tabs>
        <w:tab w:val="center" w:pos="4153"/>
        <w:tab w:val="right" w:pos="8306"/>
      </w:tabs>
      <w:snapToGrid w:val="0"/>
      <w:jc w:val="left"/>
    </w:pPr>
    <w:rPr>
      <w:kern w:val="0"/>
      <w:sz w:val="18"/>
      <w:szCs w:val="18"/>
    </w:rPr>
  </w:style>
  <w:style w:type="paragraph" w:styleId="8">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8381</Words>
  <Characters>10116</Characters>
  <Lines>0</Lines>
  <Paragraphs>0</Paragraphs>
  <TotalTime>1</TotalTime>
  <ScaleCrop>false</ScaleCrop>
  <LinksUpToDate>false</LinksUpToDate>
  <CharactersWithSpaces>10341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2022-09-28T13:45:00Z</dcterms:created>
  <dc:creator>86177</dc:creator>
  <cp:lastModifiedBy>86177</cp:lastModifiedBy>
  <dcterms:modified xsi:type="dcterms:W3CDTF">2022-09-28T13:49:47Z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3A043A55A9A14067BE54F35A6BB92423</vt:lpwstr>
  </property>
</Properties>
</file>