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3187D">
      <w:pPr>
        <w:pageBreakBefore w:val="0"/>
        <w:widowControl w:val="0"/>
        <w:kinsoku/>
        <w:wordWrap/>
        <w:overflowPunct/>
        <w:topLinePunct w:val="0"/>
        <w:bidi w:val="0"/>
        <w:spacing w:line="460" w:lineRule="exact"/>
        <w:jc w:val="both"/>
        <w:textAlignment w:val="auto"/>
        <w:rPr>
          <w:rFonts w:hint="eastAsia" w:ascii="宋体" w:hAnsi="宋体"/>
          <w:b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szCs w:val="21"/>
          <w:highlight w:val="none"/>
          <w:lang w:val="en-US" w:eastAsia="zh-CN"/>
        </w:rPr>
        <w:t>附件3</w:t>
      </w:r>
      <w:bookmarkStart w:id="0" w:name="_GoBack"/>
      <w:bookmarkEnd w:id="0"/>
    </w:p>
    <w:p w14:paraId="33BFED4A">
      <w:pPr>
        <w:pageBreakBefore w:val="0"/>
        <w:widowControl w:val="0"/>
        <w:kinsoku/>
        <w:wordWrap/>
        <w:overflowPunct/>
        <w:topLinePunct w:val="0"/>
        <w:bidi w:val="0"/>
        <w:spacing w:line="460" w:lineRule="exact"/>
        <w:ind w:firstLine="883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highlight w:val="none"/>
          <w:lang w:eastAsia="zh-CN"/>
        </w:rPr>
        <w:t>评分标准</w:t>
      </w:r>
    </w:p>
    <w:tbl>
      <w:tblPr>
        <w:tblStyle w:val="7"/>
        <w:tblW w:w="8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644"/>
        <w:gridCol w:w="4900"/>
        <w:gridCol w:w="771"/>
      </w:tblGrid>
      <w:tr w14:paraId="667FB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883" w:type="dxa"/>
            <w:noWrap w:val="0"/>
            <w:vAlign w:val="center"/>
          </w:tcPr>
          <w:p w14:paraId="66365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44" w:type="dxa"/>
            <w:noWrap w:val="0"/>
            <w:vAlign w:val="center"/>
          </w:tcPr>
          <w:p w14:paraId="55F08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评审内容</w:t>
            </w:r>
          </w:p>
        </w:tc>
        <w:tc>
          <w:tcPr>
            <w:tcW w:w="4900" w:type="dxa"/>
            <w:noWrap w:val="0"/>
            <w:vAlign w:val="center"/>
          </w:tcPr>
          <w:p w14:paraId="3E0454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评审标准</w:t>
            </w:r>
          </w:p>
        </w:tc>
        <w:tc>
          <w:tcPr>
            <w:tcW w:w="771" w:type="dxa"/>
            <w:noWrap w:val="0"/>
            <w:vAlign w:val="center"/>
          </w:tcPr>
          <w:p w14:paraId="4B7A2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分值</w:t>
            </w:r>
          </w:p>
        </w:tc>
      </w:tr>
      <w:tr w14:paraId="37F8F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  <w:jc w:val="center"/>
        </w:trPr>
        <w:tc>
          <w:tcPr>
            <w:tcW w:w="883" w:type="dxa"/>
            <w:noWrap w:val="0"/>
            <w:vAlign w:val="center"/>
          </w:tcPr>
          <w:p w14:paraId="0C3423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644" w:type="dxa"/>
            <w:noWrap w:val="0"/>
            <w:vAlign w:val="center"/>
          </w:tcPr>
          <w:p w14:paraId="0DDF7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企业业绩</w:t>
            </w:r>
          </w:p>
        </w:tc>
        <w:tc>
          <w:tcPr>
            <w:tcW w:w="4900" w:type="dxa"/>
            <w:noWrap w:val="0"/>
            <w:vAlign w:val="center"/>
          </w:tcPr>
          <w:p w14:paraId="0837F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参选单位自2022年1月1日至今承揽可行性研究报告编制业绩，每个5分，满分20分。</w:t>
            </w:r>
          </w:p>
          <w:p w14:paraId="12C87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证明材料：参选文件中提供加盖公章合同复印件，时间以合同签订时间为准，不提供不得分。</w:t>
            </w:r>
          </w:p>
        </w:tc>
        <w:tc>
          <w:tcPr>
            <w:tcW w:w="771" w:type="dxa"/>
            <w:noWrap w:val="0"/>
            <w:vAlign w:val="center"/>
          </w:tcPr>
          <w:p w14:paraId="117C1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20分</w:t>
            </w:r>
          </w:p>
        </w:tc>
      </w:tr>
      <w:tr w14:paraId="02595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3" w:type="dxa"/>
            <w:noWrap w:val="0"/>
            <w:vAlign w:val="center"/>
          </w:tcPr>
          <w:p w14:paraId="4794C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644" w:type="dxa"/>
            <w:noWrap w:val="0"/>
            <w:vAlign w:val="center"/>
          </w:tcPr>
          <w:p w14:paraId="2D6B5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拟派团队</w:t>
            </w:r>
          </w:p>
        </w:tc>
        <w:tc>
          <w:tcPr>
            <w:tcW w:w="4900" w:type="dxa"/>
            <w:noWrap w:val="0"/>
            <w:vAlign w:val="center"/>
          </w:tcPr>
          <w:p w14:paraId="0651477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1.项目负责人：项目负责人具有中级技术职称，得3分，具有高级（含）以上技术职称得5分。本项满分5分。</w:t>
            </w:r>
          </w:p>
          <w:p w14:paraId="45A1EA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.其他人员（除项目负责人外）：拟派本项目人员中，至少配备2名中级（或以上）职称每个1.5分，满分3分。以上人员如同时具备在本单位注册的咨询工程师（投资）职业资格的每人得1分。满分2分。本项目满分5分。</w:t>
            </w:r>
          </w:p>
          <w:p w14:paraId="0D91AA7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证明材料：提供证书复印件、劳动合同复印件（如退休返聘人员需提供退休证明资料、返聘劳动合同），并加盖公章。不提供不得分。</w:t>
            </w:r>
          </w:p>
        </w:tc>
        <w:tc>
          <w:tcPr>
            <w:tcW w:w="771" w:type="dxa"/>
            <w:noWrap w:val="0"/>
            <w:vAlign w:val="center"/>
          </w:tcPr>
          <w:p w14:paraId="5768B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10分</w:t>
            </w:r>
          </w:p>
        </w:tc>
      </w:tr>
      <w:tr w14:paraId="3FD57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3" w:type="dxa"/>
            <w:noWrap w:val="0"/>
            <w:vAlign w:val="center"/>
          </w:tcPr>
          <w:p w14:paraId="45025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644" w:type="dxa"/>
            <w:noWrap w:val="0"/>
            <w:vAlign w:val="center"/>
          </w:tcPr>
          <w:p w14:paraId="6B007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项目实施方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案</w:t>
            </w:r>
          </w:p>
        </w:tc>
        <w:tc>
          <w:tcPr>
            <w:tcW w:w="4900" w:type="dxa"/>
            <w:noWrap w:val="0"/>
            <w:vAlign w:val="center"/>
          </w:tcPr>
          <w:p w14:paraId="0188AAD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根据供应商提出的项目建设背景、现状及存在问题、项目建设必要性及目标进行综合评价：</w:t>
            </w:r>
          </w:p>
          <w:p w14:paraId="2EA22E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11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对项目建设背景、必要性及目标描述完整合理，对现状及存在问题描述思路准确全面、有针对性得15分</w:t>
            </w:r>
          </w:p>
          <w:p w14:paraId="39AABD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11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对项目建设背景、必要性及目标描述较为完整合理，对现状及存在问题描述思路较为准确全面得10分； </w:t>
            </w:r>
          </w:p>
          <w:p w14:paraId="306B6F8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110" w:lef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3、对项目建设背景、必要性及目标描述不完整合理，对现状及存在问题描述思路不准确全面，得5分；</w:t>
            </w:r>
          </w:p>
          <w:p w14:paraId="5D5589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110" w:lef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4、不提供不得分。</w:t>
            </w:r>
          </w:p>
        </w:tc>
        <w:tc>
          <w:tcPr>
            <w:tcW w:w="771" w:type="dxa"/>
            <w:noWrap w:val="0"/>
            <w:vAlign w:val="center"/>
          </w:tcPr>
          <w:p w14:paraId="22DED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15分</w:t>
            </w:r>
          </w:p>
        </w:tc>
      </w:tr>
      <w:tr w14:paraId="415CA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3" w:type="dxa"/>
            <w:noWrap w:val="0"/>
            <w:vAlign w:val="center"/>
          </w:tcPr>
          <w:p w14:paraId="38FA1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644" w:type="dxa"/>
            <w:noWrap w:val="0"/>
            <w:vAlign w:val="center"/>
          </w:tcPr>
          <w:p w14:paraId="15D76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工作进度方案</w:t>
            </w:r>
          </w:p>
        </w:tc>
        <w:tc>
          <w:tcPr>
            <w:tcW w:w="4900" w:type="dxa"/>
            <w:noWrap w:val="0"/>
            <w:vAlign w:val="center"/>
          </w:tcPr>
          <w:p w14:paraId="3893D97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根据供应商项目编制进度计划合理性，以及提供保证进度计划的保证措施情况进行综合评价： </w:t>
            </w:r>
          </w:p>
          <w:p w14:paraId="14D8FB3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1、进度计划安排内容明确完整、合理、针对性强、切实可行得15分；</w:t>
            </w:r>
          </w:p>
          <w:p w14:paraId="1D4DE6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2、进度计划安排内容较完整、较合理、具有针对性得10分；</w:t>
            </w:r>
          </w:p>
          <w:p w14:paraId="0585C42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3、进度计划安排内容不明确、不完整、不合理，毫无针对性得5分。</w:t>
            </w:r>
          </w:p>
          <w:p w14:paraId="4997F0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4、不提供不得分。</w:t>
            </w:r>
          </w:p>
        </w:tc>
        <w:tc>
          <w:tcPr>
            <w:tcW w:w="771" w:type="dxa"/>
            <w:noWrap w:val="0"/>
            <w:vAlign w:val="center"/>
          </w:tcPr>
          <w:p w14:paraId="228E5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15分</w:t>
            </w:r>
          </w:p>
        </w:tc>
      </w:tr>
      <w:tr w14:paraId="01BCF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3" w:type="dxa"/>
            <w:noWrap w:val="0"/>
            <w:vAlign w:val="center"/>
          </w:tcPr>
          <w:p w14:paraId="64094A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644" w:type="dxa"/>
            <w:noWrap w:val="0"/>
            <w:vAlign w:val="center"/>
          </w:tcPr>
          <w:p w14:paraId="2A66B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后续服务和承诺</w:t>
            </w:r>
          </w:p>
        </w:tc>
        <w:tc>
          <w:tcPr>
            <w:tcW w:w="4900" w:type="dxa"/>
            <w:noWrap w:val="0"/>
            <w:vAlign w:val="center"/>
          </w:tcPr>
          <w:p w14:paraId="7B5D92D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根据供应商项目编制根据本项目特征结合实际情况，制定可行的后续服务和承诺： </w:t>
            </w:r>
          </w:p>
          <w:p w14:paraId="681184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1、后续服务和承诺内容明确完整、合理、针对性强、切实可行得15分；</w:t>
            </w:r>
          </w:p>
          <w:p w14:paraId="1659771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2、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后续服务和承诺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安排内容较完整、较合理、具有针对性得10分；</w:t>
            </w:r>
          </w:p>
          <w:p w14:paraId="48EA1C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后续服务和承诺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内容不明确、不完整、不合理，毫无针对性得5分。</w:t>
            </w:r>
          </w:p>
          <w:p w14:paraId="5D4E3FF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4、不提供不得分。</w:t>
            </w:r>
          </w:p>
        </w:tc>
        <w:tc>
          <w:tcPr>
            <w:tcW w:w="771" w:type="dxa"/>
            <w:noWrap w:val="0"/>
            <w:vAlign w:val="center"/>
          </w:tcPr>
          <w:p w14:paraId="64EC45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15分</w:t>
            </w:r>
          </w:p>
        </w:tc>
      </w:tr>
      <w:tr w14:paraId="30A41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3" w:type="dxa"/>
            <w:noWrap w:val="0"/>
            <w:vAlign w:val="center"/>
          </w:tcPr>
          <w:p w14:paraId="0BD9C1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36874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29C25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22F8A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644" w:type="dxa"/>
            <w:noWrap w:val="0"/>
            <w:vAlign w:val="center"/>
          </w:tcPr>
          <w:p w14:paraId="04548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7640B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4F69E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0A778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质量、安全、保密保障措施</w:t>
            </w:r>
          </w:p>
        </w:tc>
        <w:tc>
          <w:tcPr>
            <w:tcW w:w="4900" w:type="dxa"/>
            <w:noWrap w:val="0"/>
            <w:vAlign w:val="center"/>
          </w:tcPr>
          <w:p w14:paraId="2E40EF8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根据供应商项目质量、安全、保密保障措施情况进行综合评价：</w:t>
            </w:r>
          </w:p>
          <w:p w14:paraId="3466B13B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11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质量、安全、保密保障措施内容明确完整、制度健全、合理、针对性强、切实可行，得15分；</w:t>
            </w:r>
          </w:p>
          <w:p w14:paraId="4542755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110" w:lef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2、质量、安全、保密保障措施内容完整、内容合理、具有针对性，得10分； </w:t>
            </w:r>
          </w:p>
          <w:p w14:paraId="58195ED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110" w:lef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3、质量、安全、保密保障措施内容不完整、不明确、不合理，毫无针对性，得5分。 </w:t>
            </w:r>
          </w:p>
          <w:p w14:paraId="3B90BD9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ind w:left="110" w:lef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4、不提供不得分。</w:t>
            </w:r>
          </w:p>
        </w:tc>
        <w:tc>
          <w:tcPr>
            <w:tcW w:w="771" w:type="dxa"/>
            <w:noWrap w:val="0"/>
            <w:vAlign w:val="center"/>
          </w:tcPr>
          <w:p w14:paraId="75DC9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88BC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8ED0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8D006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15分</w:t>
            </w:r>
          </w:p>
        </w:tc>
      </w:tr>
      <w:tr w14:paraId="0B068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  <w:jc w:val="center"/>
        </w:trPr>
        <w:tc>
          <w:tcPr>
            <w:tcW w:w="883" w:type="dxa"/>
            <w:noWrap w:val="0"/>
            <w:vAlign w:val="center"/>
          </w:tcPr>
          <w:p w14:paraId="14EE2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644" w:type="dxa"/>
            <w:noWrap w:val="0"/>
            <w:vAlign w:val="center"/>
          </w:tcPr>
          <w:p w14:paraId="14695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价格部分</w:t>
            </w:r>
          </w:p>
        </w:tc>
        <w:tc>
          <w:tcPr>
            <w:tcW w:w="4900" w:type="dxa"/>
            <w:noWrap w:val="0"/>
            <w:vAlign w:val="center"/>
          </w:tcPr>
          <w:p w14:paraId="185F3E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报价价格最低的投标报价为 评标基准价，其价格分为满分，价格分统一按照 下列公式计算：供应商报价得分=（评标基准价/ 投标报价）X价格权值X100</w:t>
            </w:r>
          </w:p>
        </w:tc>
        <w:tc>
          <w:tcPr>
            <w:tcW w:w="771" w:type="dxa"/>
            <w:noWrap w:val="0"/>
            <w:vAlign w:val="center"/>
          </w:tcPr>
          <w:p w14:paraId="7031F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10分</w:t>
            </w:r>
          </w:p>
        </w:tc>
      </w:tr>
      <w:tr w14:paraId="64C7B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2527" w:type="dxa"/>
            <w:gridSpan w:val="2"/>
            <w:noWrap w:val="0"/>
            <w:vAlign w:val="center"/>
          </w:tcPr>
          <w:p w14:paraId="7EC4E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5671" w:type="dxa"/>
            <w:gridSpan w:val="2"/>
            <w:noWrap w:val="0"/>
            <w:vAlign w:val="center"/>
          </w:tcPr>
          <w:p w14:paraId="63DF1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7" w:beforeLines="20" w:after="97" w:afterLines="20"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100分</w:t>
            </w:r>
          </w:p>
        </w:tc>
      </w:tr>
    </w:tbl>
    <w:p w14:paraId="3138ADC9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022020E-F145-413B-AA30-BFFBBE724AB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A1893EA-839D-4351-A340-477021567C3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8D96A8"/>
    <w:multiLevelType w:val="singleLevel"/>
    <w:tmpl w:val="2F8D96A8"/>
    <w:lvl w:ilvl="0" w:tentative="0">
      <w:start w:val="1"/>
      <w:numFmt w:val="decimal"/>
      <w:suff w:val="nothing"/>
      <w:lvlText w:val="%1、"/>
      <w:lvlJc w:val="left"/>
      <w:pPr>
        <w:ind w:left="110" w:firstLine="0"/>
      </w:pPr>
    </w:lvl>
  </w:abstractNum>
  <w:abstractNum w:abstractNumId="1">
    <w:nsid w:val="41521E79"/>
    <w:multiLevelType w:val="singleLevel"/>
    <w:tmpl w:val="41521E79"/>
    <w:lvl w:ilvl="0" w:tentative="0">
      <w:start w:val="1"/>
      <w:numFmt w:val="decimal"/>
      <w:suff w:val="nothing"/>
      <w:lvlText w:val="%1、"/>
      <w:lvlJc w:val="left"/>
      <w:pPr>
        <w:ind w:left="11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353D"/>
    <w:rsid w:val="04BF0C74"/>
    <w:rsid w:val="0BCA6E62"/>
    <w:rsid w:val="0FEB0E69"/>
    <w:rsid w:val="21032FCB"/>
    <w:rsid w:val="263A2C60"/>
    <w:rsid w:val="2F511BEF"/>
    <w:rsid w:val="3E251547"/>
    <w:rsid w:val="4E595D92"/>
    <w:rsid w:val="4FD63E1A"/>
    <w:rsid w:val="520100D4"/>
    <w:rsid w:val="5C730F13"/>
    <w:rsid w:val="60000062"/>
    <w:rsid w:val="63D132A4"/>
    <w:rsid w:val="6CA04D67"/>
    <w:rsid w:val="7B92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78" w:lineRule="exact"/>
      <w:ind w:firstLine="0" w:firstLineChars="0"/>
      <w:outlineLvl w:val="0"/>
    </w:pPr>
    <w:rPr>
      <w:rFonts w:ascii="Times New Roman" w:hAnsi="Times New Roman" w:eastAsia="黑体" w:cs="Arial"/>
      <w:snapToGrid w:val="0"/>
      <w:color w:val="000000"/>
      <w:kern w:val="44"/>
      <w:sz w:val="32"/>
      <w:szCs w:val="21"/>
      <w:lang w:eastAsia="en-US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ind w:left="0" w:firstLine="0" w:firstLineChars="0"/>
      <w:jc w:val="left"/>
      <w:outlineLvl w:val="1"/>
    </w:pPr>
    <w:rPr>
      <w:rFonts w:ascii="Times New Roman" w:hAnsi="Times New Roman" w:eastAsia="仿宋" w:cs="Times New Roman"/>
      <w:b/>
      <w:sz w:val="32"/>
    </w:rPr>
  </w:style>
  <w:style w:type="paragraph" w:styleId="2">
    <w:name w:val="heading 3"/>
    <w:basedOn w:val="1"/>
    <w:next w:val="1"/>
    <w:qFormat/>
    <w:uiPriority w:val="0"/>
    <w:pPr>
      <w:keepNext/>
      <w:keepLines/>
      <w:widowControl/>
      <w:numPr>
        <w:ilvl w:val="0"/>
        <w:numId w:val="0"/>
      </w:numPr>
      <w:tabs>
        <w:tab w:val="left" w:pos="0"/>
      </w:tabs>
      <w:outlineLvl w:val="2"/>
    </w:pPr>
    <w:rPr>
      <w:rFonts w:ascii="黑体" w:eastAsia="黑体"/>
      <w:bCs/>
      <w:sz w:val="24"/>
      <w:szCs w:val="3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unhideWhenUsed/>
    <w:qFormat/>
    <w:uiPriority w:val="99"/>
    <w:pPr>
      <w:ind w:firstLine="420" w:firstLineChars="200"/>
    </w:p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character" w:styleId="9">
    <w:name w:val="annotation reference"/>
    <w:unhideWhenUsed/>
    <w:qFormat/>
    <w:uiPriority w:val="99"/>
    <w:rPr>
      <w:sz w:val="21"/>
      <w:szCs w:val="21"/>
    </w:rPr>
  </w:style>
  <w:style w:type="character" w:customStyle="1" w:styleId="10">
    <w:name w:val="标题 2 Char"/>
    <w:link w:val="4"/>
    <w:qFormat/>
    <w:uiPriority w:val="0"/>
    <w:rPr>
      <w:rFonts w:ascii="Times New Roman" w:hAnsi="Times New Roman" w:eastAsia="仿宋" w:cs="Times New Roman"/>
      <w:b/>
      <w:sz w:val="32"/>
      <w:lang w:eastAsia="zh-CN"/>
    </w:rPr>
  </w:style>
  <w:style w:type="paragraph" w:customStyle="1" w:styleId="11">
    <w:name w:val="_Style 3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1150</Words>
  <Characters>1284</Characters>
  <Lines>0</Lines>
  <Paragraphs>0</Paragraphs>
  <TotalTime>0</TotalTime>
  <ScaleCrop>false</ScaleCrop>
  <LinksUpToDate>false</LinksUpToDate>
  <CharactersWithSpaces>1299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2025-07-16T00:48:00Z</dcterms:created>
  <dc:creator>Administrator</dc:creator>
  <cp:lastModifiedBy>宋裕雄</cp:lastModifiedBy>
  <dcterms:modified xsi:type="dcterms:W3CDTF">2025-11-03T01:59:29Z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eyJoZGlkIjoiNWNjMDRmMjE2M2M4MGM0MjUzMTNhZTNiZGMyNzg2OGQiLCJ1c2VySWQiOiIzMzU5MjE3NjgifQ==</vt:lpwstr>
  </property>
  <property fmtid="{D5CDD505-2E9C-101B-9397-08002B2CF9AE}" pid="4" name="ICV">
    <vt:lpwstr>DB74BFEB3EBB4E6D84531072898D2C76_12</vt:lpwstr>
  </property>
</Properties>
</file>