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FC38E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480" w:lineRule="auto"/>
        <w:jc w:val="center"/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6"/>
          <w:szCs w:val="36"/>
          <w:highlight w:val="none"/>
          <w:lang w:val="en-US" w:eastAsia="zh-CN" w:bidi="ar"/>
        </w:rPr>
        <w:t>服务要求</w:t>
      </w:r>
    </w:p>
    <w:p w14:paraId="0A3BE6A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</w:p>
    <w:p w14:paraId="5A247E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（一）承办单位（县域医共体）基本情况</w:t>
      </w:r>
    </w:p>
    <w:p w14:paraId="074152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sz w:val="24"/>
          <w:szCs w:val="24"/>
          <w:highlight w:val="none"/>
          <w:lang w:val="en-US" w:eastAsia="zh-CN"/>
        </w:rPr>
        <w:t>琼中县域医共体由县人民医院牵头，统筹管理县域内89家基层医疗机构（1家社区卫生服务中心、11家乡镇卫生院、77家村卫生室），推动县域医共体形成“总院-分院-网底”三级服务网络。2025年6月31日完成核心定位“六统一”建设（人员流动、财务统筹、药品共享、行政统一、信息统一、医疗质量统一）。建设运营县域医学影像、检验、心电诊断等资源共享中心，累计服务4559人次，实现检查结果互认与双向转诊常态化。</w:t>
      </w:r>
    </w:p>
    <w:p w14:paraId="3E1A7DB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(二)项目建设内容和规模</w:t>
      </w:r>
    </w:p>
    <w:p w14:paraId="05363277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（一）县域基层医疗卫生人才体系化培养</w:t>
      </w:r>
    </w:p>
    <w:p w14:paraId="3F673B9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1.基层医疗卫生机构管理人才培训：分批次完成200名县医院中层管理者、乡镇卫生院院长及业务副院长的系统轮训，培养一支精通现代医院管理、熟悉医共体运营、具有创新服务意识的基层医疗卫生管理队伍。</w:t>
      </w:r>
    </w:p>
    <w:p w14:paraId="47941F1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2.基层卫生人才（乡村医生）能力提升培训：分批次完成全县400名在岗乡村医生的滚动轮训，提升全县在岗乡村医生的综合服务能力。</w:t>
      </w:r>
    </w:p>
    <w:p w14:paraId="212EB1A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3.基层卫生人才中医常用技术培训:分批次完成全县500名卫生院的骨干医师和村卫生室的基层医务人员，开展中医实用技能培训，帮助其掌握安全有效的中医适宜技术。</w:t>
      </w:r>
    </w:p>
    <w:p w14:paraId="4642585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（二）县域医共体资源共享中心建设</w:t>
      </w:r>
    </w:p>
    <w:p w14:paraId="0F3986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1.医学检验中心：医疗检验检查共享中心系统、配备智能采血管理系统及配套医仪器12台。</w:t>
      </w:r>
    </w:p>
    <w:p w14:paraId="5A09E9A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2.医学影像中心：配备DR机、CT等设备9台（含场地装修42平方米）。</w:t>
      </w:r>
    </w:p>
    <w:p w14:paraId="79EC0A0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3.心电图共享中心：配套数字心电图机等设备16台。</w:t>
      </w:r>
    </w:p>
    <w:p w14:paraId="5C72282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4.消毒供应中心：配套脉动真空压力灭菌器1台、消毒供应追溯管理系统+消毒供应流程监控系统；</w:t>
      </w:r>
    </w:p>
    <w:p w14:paraId="0D473F9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5.信息管理中心：升级改造医共体信息化标准机房；配套远程视频会议、医共体综合信息集成平台等信息系统11个。</w:t>
      </w:r>
    </w:p>
    <w:p w14:paraId="2200256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6.共享中心药房：装修改造共享中心药房及门急诊楼1890平方米；配备共享中心药房智能货架等设备5套。</w:t>
      </w:r>
    </w:p>
    <w:p w14:paraId="65F37B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7.共享中药房：中药饮片智能调剂系统、中药智能煎煮系统（配置设备93套）、智能个性共煎颗粒制剂系统、信息化端口建设等。</w:t>
      </w:r>
    </w:p>
    <w:p w14:paraId="73E9FE14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（三）县医共体总医院建设项目</w:t>
      </w:r>
    </w:p>
    <w:p w14:paraId="18099C40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新建一座污水处理站（日处理量450吨）；提升改造院内污水管网、雨水管网（管径300-500，长1800米）；新建连廊（长约300米，宽约4米，高约4.5米）。新建围墙高2.5米，长2500米；安检设备2套。</w:t>
      </w:r>
    </w:p>
    <w:p w14:paraId="64CE1FE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（四）医共体各分院建设项目</w:t>
      </w:r>
    </w:p>
    <w:p w14:paraId="06A6702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污水处理站一体化设备更新2套（一备一用，日处理量20/吨）；新建排污管道PC220（或螺纹管220）挖埋铺设100米、PC150挖埋铺设55米、PC110挖埋铺设210米、PC75接入主管210米；升级改造数字化预防接种门诊2个（装修面积250平方米、数字化设备2套、工位10个）；儿童保健室装修改造（73平方米）；急救站点场地装修改造250平方米；新建雷电防护装置（避雷针）5栋楼；新增监控设备20个；新建狂犬疫苗门诊及发热患者观察室，建筑面积80平方米。</w:t>
      </w:r>
    </w:p>
    <w:p w14:paraId="0ED2E80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（五）县域医共体绩效管理系统建设</w:t>
      </w:r>
    </w:p>
    <w:p w14:paraId="3D135D1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在调研诊断基础上，配套建设一套琼中县县域内医共体单位一体化的绩效管理信息系统，实现与HIS、电子病历、成本核算等系统的无缝对接，自动采集核算所需的工作量、收入、成本等数据。系统功能将覆盖绩效基础设置（RBRVS积分字典、核算公式配置）、自动化奖金核算（支持核算到个人、诊疗组、科室）、多维绩效考核（线上考核评分与结果计算）、综合查询与分析（为管理层提供“人、财、物、效”的动态数据看板和决策支持），通过信息化手段将绩效管理理念固化为高效的运营流程，减轻人工负担，提升绩效管理透明度与效率。</w:t>
      </w:r>
    </w:p>
    <w:p w14:paraId="1BF6EE8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/>
        </w:rPr>
        <w:t>（三）保密要求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：</w:t>
      </w:r>
    </w:p>
    <w:p w14:paraId="275F1563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 xml:space="preserve">要求项目服务过程中，自签订合同之日起至中标人正式向采购人交付技术文档资料时止，中标人需采取措施对本项目实施过程中的数据、图纸、技术文档等资料保密，否则，由于中标人过错导致的上述资料泄密的，中标人需承担一切责任，所造成的一切 损失由中标人承担。本项目的保密责任，不因本合同的中止或解除而失效。 </w:t>
      </w:r>
    </w:p>
    <w:p w14:paraId="6907DE6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 xml:space="preserve">需对采购人提供的一切资料、数据做好保存工作，未经采购人书面同意，中标人不得泄露以上任何内容给第三方。如发现中标人有泄露行为，依法追究中标人的法律及赔偿责任。中标人的保密责任，不因本合同的中止或解除而失效。     </w:t>
      </w:r>
    </w:p>
    <w:p w14:paraId="400AD6E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未经采购人事先书面同意，中标人不得将由采购人为本合同提供的条文、计划、图纸或资料提供给与本合同无关的任何第三方，不得将其用于履行本合同之外的其它用途。即使提供给与履行本合同有关的人员，也应注意保密并限于履行合同所必需的范围。</w:t>
      </w:r>
    </w:p>
    <w:p w14:paraId="263D6A0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/>
        <w:snapToGrid/>
        <w:spacing w:line="480" w:lineRule="auto"/>
        <w:ind w:firstLine="480" w:firstLineChars="200"/>
        <w:rPr>
          <w:rFonts w:hint="default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（四）本项目服务期：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shd w:val="clear" w:color="auto" w:fill="FFFFFF"/>
        </w:rPr>
        <w:t>自合同签订之日起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 xml:space="preserve"> 20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shd w:val="clear" w:color="auto" w:fill="FFFFFF"/>
          <w:lang w:val="en-US" w:eastAsia="zh-CN"/>
        </w:rPr>
        <w:t>日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shd w:val="clear" w:color="auto" w:fill="FFFFFF"/>
          <w:lang w:val="en-US" w:eastAsia="zh-CN"/>
        </w:rPr>
        <w:t>完成可行性报告编制服务。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5"/>
    <w:multiLevelType w:val="multilevel"/>
    <w:tmpl w:val="00000005"/>
    <w:lvl w:ilvl="0" w:tentative="0">
      <w:start w:val="1"/>
      <w:numFmt w:val="decimal"/>
      <w:lvlText w:val="%1、"/>
      <w:lvlJc w:val="left"/>
      <w:pPr>
        <w:ind w:left="5365" w:hanging="945"/>
      </w:pPr>
      <w:rPr>
        <w:rFonts w:hint="default" w:ascii="Times New Roman" w:hAnsi="Times New Roman" w:eastAsia="宋体"/>
        <w:u w:val="none" w:color="auto"/>
      </w:rPr>
    </w:lvl>
    <w:lvl w:ilvl="1" w:tentative="0">
      <w:start w:val="1"/>
      <w:numFmt w:val="lowerLetter"/>
      <w:lvlText w:val="%2)"/>
      <w:lvlJc w:val="left"/>
      <w:pPr>
        <w:ind w:left="5260" w:hanging="420"/>
      </w:pPr>
      <w:rPr>
        <w:rFonts w:hint="default" w:ascii="Times New Roman"/>
        <w:u w:val="none" w:color="auto"/>
      </w:rPr>
    </w:lvl>
    <w:lvl w:ilvl="2" w:tentative="0">
      <w:start w:val="1"/>
      <w:numFmt w:val="lowerRoman"/>
      <w:pStyle w:val="2"/>
      <w:lvlText w:val="%3."/>
      <w:lvlJc w:val="right"/>
      <w:pPr>
        <w:ind w:left="5680" w:hanging="420"/>
      </w:pPr>
      <w:rPr>
        <w:rFonts w:hint="default" w:ascii="Times New Roman"/>
        <w:u w:val="none" w:color="auto"/>
      </w:rPr>
    </w:lvl>
    <w:lvl w:ilvl="3" w:tentative="0">
      <w:start w:val="1"/>
      <w:numFmt w:val="decimal"/>
      <w:lvlText w:val="%4."/>
      <w:lvlJc w:val="left"/>
      <w:pPr>
        <w:ind w:left="6100" w:hanging="420"/>
      </w:pPr>
      <w:rPr>
        <w:rFonts w:hint="default" w:ascii="Times New Roman"/>
        <w:u w:val="none" w:color="auto"/>
      </w:rPr>
    </w:lvl>
    <w:lvl w:ilvl="4" w:tentative="0">
      <w:start w:val="1"/>
      <w:numFmt w:val="lowerLetter"/>
      <w:lvlText w:val="%5)"/>
      <w:lvlJc w:val="left"/>
      <w:pPr>
        <w:ind w:left="6520" w:hanging="420"/>
      </w:pPr>
      <w:rPr>
        <w:rFonts w:hint="default" w:ascii="Times New Roman"/>
        <w:u w:val="none" w:color="auto"/>
      </w:rPr>
    </w:lvl>
    <w:lvl w:ilvl="5" w:tentative="0">
      <w:start w:val="1"/>
      <w:numFmt w:val="lowerRoman"/>
      <w:lvlText w:val="%6."/>
      <w:lvlJc w:val="right"/>
      <w:pPr>
        <w:ind w:left="6940" w:hanging="420"/>
      </w:pPr>
      <w:rPr>
        <w:rFonts w:hint="default" w:ascii="Times New Roman"/>
        <w:u w:val="none" w:color="auto"/>
      </w:rPr>
    </w:lvl>
    <w:lvl w:ilvl="6" w:tentative="0">
      <w:start w:val="1"/>
      <w:numFmt w:val="decimal"/>
      <w:lvlText w:val="%7."/>
      <w:lvlJc w:val="left"/>
      <w:pPr>
        <w:ind w:left="7360" w:hanging="420"/>
      </w:pPr>
      <w:rPr>
        <w:rFonts w:hint="default" w:ascii="Times New Roman"/>
        <w:u w:val="none" w:color="auto"/>
      </w:rPr>
    </w:lvl>
    <w:lvl w:ilvl="7" w:tentative="0">
      <w:start w:val="1"/>
      <w:numFmt w:val="lowerLetter"/>
      <w:lvlText w:val="%8)"/>
      <w:lvlJc w:val="left"/>
      <w:pPr>
        <w:ind w:left="7780" w:hanging="420"/>
      </w:pPr>
      <w:rPr>
        <w:rFonts w:hint="default" w:ascii="Times New Roman"/>
        <w:u w:val="none" w:color="auto"/>
      </w:rPr>
    </w:lvl>
    <w:lvl w:ilvl="8" w:tentative="0">
      <w:start w:val="1"/>
      <w:numFmt w:val="lowerRoman"/>
      <w:lvlText w:val="%9."/>
      <w:lvlJc w:val="right"/>
      <w:pPr>
        <w:ind w:left="8200" w:hanging="420"/>
      </w:pPr>
      <w:rPr>
        <w:rFonts w:hint="default" w:ascii="Times New Roman"/>
        <w:u w:val="none" w:color="auto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1869AE"/>
    <w:rsid w:val="1A197394"/>
    <w:rsid w:val="259164D3"/>
    <w:rsid w:val="29597EA6"/>
    <w:rsid w:val="45364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Times New Roman" w:eastAsia="宋体" w:cs="Times New Roman"/>
      <w:sz w:val="3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widowControl w:val="0"/>
      <w:numPr>
        <w:ilvl w:val="2"/>
        <w:numId w:val="1"/>
      </w:numPr>
      <w:tabs>
        <w:tab w:val="left" w:pos="900"/>
      </w:tabs>
      <w:spacing w:before="260" w:after="260" w:line="360" w:lineRule="auto"/>
      <w:jc w:val="both"/>
      <w:outlineLvl w:val="2"/>
    </w:pPr>
    <w:rPr>
      <w:rFonts w:hAnsi="宋体"/>
      <w:b/>
      <w:bCs/>
      <w:kern w:val="2"/>
      <w:sz w:val="28"/>
      <w:szCs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1731</Words>
  <Characters>1828</Characters>
  <Lines>0</Lines>
  <Paragraphs>0</Paragraphs>
  <TotalTime>0</TotalTime>
  <ScaleCrop>false</ScaleCrop>
  <LinksUpToDate>false</LinksUpToDate>
  <CharactersWithSpaces>1836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2025-11-03T01:44:00Z</dcterms:created>
  <dc:creator>Administrator</dc:creator>
  <cp:lastModifiedBy>宋裕雄</cp:lastModifiedBy>
  <dcterms:modified xsi:type="dcterms:W3CDTF">2025-11-03T03:23:08Z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eyJoZGlkIjoiNWNjMDRmMjE2M2M4MGM0MjUzMTNhZTNiZGMyNzg2OGQiLCJ1c2VySWQiOiIzMzU5MjE3NjgifQ==</vt:lpwstr>
  </property>
  <property fmtid="{D5CDD505-2E9C-101B-9397-08002B2CF9AE}" pid="4" name="ICV">
    <vt:lpwstr>A52D12DAB39A43FEA1DDA6C2D3E3DEDE_12</vt:lpwstr>
  </property>
</Properties>
</file>