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F9BF4">
      <w:pPr>
        <w:ind w:left="0" w:leftChars="0" w:firstLine="0" w:firstLineChars="0"/>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14:paraId="7B26AC1F">
      <w:pPr>
        <w:ind w:left="0" w:leftChars="0" w:firstLine="0" w:firstLineChars="0"/>
        <w:jc w:val="center"/>
        <w:rPr>
          <w:rFonts w:hint="eastAsia" w:ascii="CESI小标宋-GB2312" w:hAnsi="CESI小标宋-GB2312" w:eastAsia="CESI小标宋-GB2312" w:cs="CESI小标宋-GB2312"/>
          <w:sz w:val="44"/>
          <w:szCs w:val="44"/>
          <w:lang w:eastAsia="zh-CN"/>
        </w:rPr>
      </w:pPr>
      <w:bookmarkStart w:id="0" w:name="_GoBack"/>
      <w:r>
        <w:rPr>
          <w:rFonts w:hint="eastAsia" w:ascii="CESI小标宋-GB2312" w:hAnsi="CESI小标宋-GB2312" w:eastAsia="CESI小标宋-GB2312" w:cs="CESI小标宋-GB2312"/>
          <w:b w:val="0"/>
          <w:bCs w:val="0"/>
          <w:i w:val="0"/>
          <w:iCs w:val="0"/>
          <w:color w:val="000000"/>
          <w:kern w:val="0"/>
          <w:sz w:val="44"/>
          <w:szCs w:val="44"/>
          <w:u w:val="none"/>
          <w:lang w:val="en-US" w:eastAsia="zh-CN" w:bidi="ar"/>
        </w:rPr>
        <w:t>海南省招标投标监督职责分工</w:t>
      </w:r>
    </w:p>
    <w:bookmarkEnd w:id="0"/>
    <w:tbl>
      <w:tblPr>
        <w:tblStyle w:val="4"/>
        <w:tblW w:w="197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7"/>
        <w:gridCol w:w="1350"/>
        <w:gridCol w:w="3768"/>
        <w:gridCol w:w="1707"/>
        <w:gridCol w:w="7380"/>
        <w:gridCol w:w="4798"/>
      </w:tblGrid>
      <w:tr w14:paraId="6287A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blHeader/>
        </w:trPr>
        <w:tc>
          <w:tcPr>
            <w:tcW w:w="737" w:type="dxa"/>
            <w:tcBorders>
              <w:tl2br w:val="nil"/>
              <w:tr2bl w:val="nil"/>
            </w:tcBorders>
            <w:noWrap w:val="0"/>
            <w:vAlign w:val="center"/>
          </w:tcPr>
          <w:p w14:paraId="7C2280CF">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编号</w:t>
            </w:r>
          </w:p>
        </w:tc>
        <w:tc>
          <w:tcPr>
            <w:tcW w:w="1350" w:type="dxa"/>
            <w:tcBorders>
              <w:tl2br w:val="nil"/>
              <w:tr2bl w:val="nil"/>
            </w:tcBorders>
            <w:noWrap w:val="0"/>
            <w:vAlign w:val="center"/>
          </w:tcPr>
          <w:p w14:paraId="498EFC2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项目类别</w:t>
            </w:r>
          </w:p>
        </w:tc>
        <w:tc>
          <w:tcPr>
            <w:tcW w:w="3768" w:type="dxa"/>
            <w:tcBorders>
              <w:tl2br w:val="nil"/>
              <w:tr2bl w:val="nil"/>
            </w:tcBorders>
            <w:noWrap w:val="0"/>
            <w:vAlign w:val="center"/>
          </w:tcPr>
          <w:p w14:paraId="4B566F7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项目范围和内容</w:t>
            </w:r>
          </w:p>
        </w:tc>
        <w:tc>
          <w:tcPr>
            <w:tcW w:w="1707" w:type="dxa"/>
            <w:tcBorders>
              <w:tl2br w:val="nil"/>
              <w:tr2bl w:val="nil"/>
            </w:tcBorders>
            <w:noWrap w:val="0"/>
            <w:vAlign w:val="center"/>
          </w:tcPr>
          <w:p w14:paraId="53D8C7A2">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监督部门</w:t>
            </w:r>
          </w:p>
        </w:tc>
        <w:tc>
          <w:tcPr>
            <w:tcW w:w="7380" w:type="dxa"/>
            <w:tcBorders>
              <w:tl2br w:val="nil"/>
              <w:tr2bl w:val="nil"/>
            </w:tcBorders>
            <w:noWrap w:val="0"/>
            <w:vAlign w:val="center"/>
          </w:tcPr>
          <w:p w14:paraId="12995D02">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主要监管方式</w:t>
            </w:r>
          </w:p>
        </w:tc>
        <w:tc>
          <w:tcPr>
            <w:tcW w:w="4798" w:type="dxa"/>
            <w:tcBorders>
              <w:tl2br w:val="nil"/>
              <w:tr2bl w:val="nil"/>
            </w:tcBorders>
            <w:noWrap w:val="0"/>
            <w:vAlign w:val="center"/>
          </w:tcPr>
          <w:p w14:paraId="692B67D8">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监督依据</w:t>
            </w:r>
          </w:p>
        </w:tc>
      </w:tr>
      <w:tr w14:paraId="5658B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9740" w:type="dxa"/>
            <w:gridSpan w:val="6"/>
            <w:tcBorders>
              <w:tl2br w:val="nil"/>
              <w:tr2bl w:val="nil"/>
            </w:tcBorders>
            <w:noWrap w:val="0"/>
            <w:vAlign w:val="center"/>
          </w:tcPr>
          <w:p w14:paraId="50CF6DEB">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仿宋_GB2312" w:hAnsi="仿宋_GB2312" w:eastAsia="仿宋_GB2312" w:cs="仿宋_GB2312"/>
                <w:b/>
                <w:bCs/>
                <w:i w:val="0"/>
                <w:iCs w:val="0"/>
                <w:color w:val="000000"/>
                <w:sz w:val="28"/>
                <w:szCs w:val="28"/>
                <w:u w:val="none"/>
              </w:rPr>
            </w:pPr>
            <w:r>
              <w:rPr>
                <w:rFonts w:hint="eastAsia" w:ascii="楷体_GB2312" w:hAnsi="楷体_GB2312" w:eastAsia="楷体_GB2312" w:cs="楷体_GB2312"/>
                <w:b w:val="0"/>
                <w:bCs w:val="0"/>
                <w:i w:val="0"/>
                <w:iCs w:val="0"/>
                <w:color w:val="000000"/>
                <w:kern w:val="0"/>
                <w:sz w:val="28"/>
                <w:szCs w:val="28"/>
                <w:u w:val="none"/>
                <w:lang w:val="en-US" w:eastAsia="zh-CN" w:bidi="ar"/>
              </w:rPr>
              <w:t>一、工程建设类（A类）</w:t>
            </w:r>
          </w:p>
        </w:tc>
      </w:tr>
      <w:tr w14:paraId="4D9FD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5" w:hRule="atLeast"/>
        </w:trPr>
        <w:tc>
          <w:tcPr>
            <w:tcW w:w="737" w:type="dxa"/>
            <w:vMerge w:val="restart"/>
            <w:tcBorders>
              <w:tl2br w:val="nil"/>
              <w:tr2bl w:val="nil"/>
            </w:tcBorders>
            <w:noWrap w:val="0"/>
            <w:vAlign w:val="center"/>
          </w:tcPr>
          <w:p w14:paraId="53381256">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A01</w:t>
            </w:r>
          </w:p>
        </w:tc>
        <w:tc>
          <w:tcPr>
            <w:tcW w:w="1350" w:type="dxa"/>
            <w:vMerge w:val="restart"/>
            <w:tcBorders>
              <w:tl2br w:val="nil"/>
              <w:tr2bl w:val="nil"/>
            </w:tcBorders>
            <w:noWrap w:val="0"/>
            <w:vAlign w:val="center"/>
          </w:tcPr>
          <w:p w14:paraId="72A746B0">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房屋建筑和市政基础设施工程</w:t>
            </w:r>
          </w:p>
        </w:tc>
        <w:tc>
          <w:tcPr>
            <w:tcW w:w="3768" w:type="dxa"/>
            <w:tcBorders>
              <w:tl2br w:val="nil"/>
              <w:tr2bl w:val="nil"/>
            </w:tcBorders>
            <w:noWrap w:val="0"/>
            <w:vAlign w:val="center"/>
          </w:tcPr>
          <w:p w14:paraId="154D5B66">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房屋建筑工程</w:t>
            </w:r>
          </w:p>
        </w:tc>
        <w:tc>
          <w:tcPr>
            <w:tcW w:w="1707" w:type="dxa"/>
            <w:vMerge w:val="restart"/>
            <w:tcBorders>
              <w:tl2br w:val="nil"/>
              <w:tr2bl w:val="nil"/>
            </w:tcBorders>
            <w:noWrap w:val="0"/>
            <w:vAlign w:val="center"/>
          </w:tcPr>
          <w:p w14:paraId="508815FF">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住房城乡</w:t>
            </w:r>
          </w:p>
          <w:p w14:paraId="678735D0">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建设部门</w:t>
            </w:r>
          </w:p>
        </w:tc>
        <w:tc>
          <w:tcPr>
            <w:tcW w:w="7380" w:type="dxa"/>
            <w:vMerge w:val="restart"/>
            <w:tcBorders>
              <w:tl2br w:val="nil"/>
              <w:tr2bl w:val="nil"/>
            </w:tcBorders>
            <w:noWrap w:val="0"/>
            <w:vAlign w:val="center"/>
          </w:tcPr>
          <w:p w14:paraId="0E3FCB25">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各类房屋建筑及其附属设施的建造和与其配套的线路、管道、设备的安装项目和市政工程项目的招投标活动的监督执法，主要采用以下方式实施监督:1.通过省“机器管招投标”行政监督平台对招投标情况等实施监督；2.依法开展监督检查；3.建立健全投诉接收、转办、反馈工作机制，依法查处违法违规行为。</w:t>
            </w:r>
          </w:p>
        </w:tc>
        <w:tc>
          <w:tcPr>
            <w:tcW w:w="4798" w:type="dxa"/>
            <w:vMerge w:val="restart"/>
            <w:tcBorders>
              <w:tl2br w:val="nil"/>
              <w:tr2bl w:val="nil"/>
            </w:tcBorders>
            <w:noWrap w:val="0"/>
            <w:vAlign w:val="center"/>
          </w:tcPr>
          <w:p w14:paraId="0D2F39BC">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评标委员会和评标方法暂行规定》《工程建设项目招标投标活动投诉处理办法》《建设工程质量管理条例》《工程建设项目施工招标投标办法》《工程建设项目勘察设计招标投标办法》《建筑工程设计招标投标管理办法》《建筑工程施工发包与承包计价管理办法》《海南省公共资源交易管理办法》等</w:t>
            </w:r>
          </w:p>
        </w:tc>
      </w:tr>
      <w:tr w14:paraId="13789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0" w:hRule="atLeast"/>
        </w:trPr>
        <w:tc>
          <w:tcPr>
            <w:tcW w:w="737" w:type="dxa"/>
            <w:vMerge w:val="continue"/>
            <w:tcBorders>
              <w:tl2br w:val="nil"/>
              <w:tr2bl w:val="nil"/>
            </w:tcBorders>
            <w:noWrap w:val="0"/>
            <w:vAlign w:val="center"/>
          </w:tcPr>
          <w:p w14:paraId="33A8AF26">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6577811E">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20797689">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市政公用工程（不含城乡供水节水、排水防涝、污水处理及再生水利用）</w:t>
            </w:r>
          </w:p>
        </w:tc>
        <w:tc>
          <w:tcPr>
            <w:tcW w:w="1707" w:type="dxa"/>
            <w:vMerge w:val="continue"/>
            <w:tcBorders>
              <w:tl2br w:val="nil"/>
              <w:tr2bl w:val="nil"/>
            </w:tcBorders>
            <w:noWrap w:val="0"/>
            <w:vAlign w:val="center"/>
          </w:tcPr>
          <w:p w14:paraId="689B14E2">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7380" w:type="dxa"/>
            <w:vMerge w:val="continue"/>
            <w:tcBorders>
              <w:tl2br w:val="nil"/>
              <w:tr2bl w:val="nil"/>
            </w:tcBorders>
            <w:noWrap w:val="0"/>
            <w:vAlign w:val="center"/>
          </w:tcPr>
          <w:p w14:paraId="4C4AB021">
            <w:pPr>
              <w:keepNext w:val="0"/>
              <w:keepLines w:val="0"/>
              <w:pageBreakBefore w:val="0"/>
              <w:widowControl/>
              <w:kinsoku/>
              <w:wordWrap/>
              <w:overflowPunct/>
              <w:topLinePunct w:val="0"/>
              <w:bidi w:val="0"/>
              <w:adjustRightInd/>
              <w:snapToGrid/>
              <w:spacing w:line="520" w:lineRule="exact"/>
              <w:jc w:val="both"/>
              <w:rPr>
                <w:rFonts w:hint="eastAsia" w:ascii="仿宋_GB2312" w:hAnsi="仿宋_GB2312" w:eastAsia="仿宋_GB2312" w:cs="仿宋_GB2312"/>
                <w:i w:val="0"/>
                <w:iCs w:val="0"/>
                <w:color w:val="000000"/>
                <w:sz w:val="28"/>
                <w:szCs w:val="28"/>
                <w:u w:val="none"/>
              </w:rPr>
            </w:pPr>
          </w:p>
        </w:tc>
        <w:tc>
          <w:tcPr>
            <w:tcW w:w="4798" w:type="dxa"/>
            <w:vMerge w:val="continue"/>
            <w:tcBorders>
              <w:tl2br w:val="nil"/>
              <w:tr2bl w:val="nil"/>
            </w:tcBorders>
            <w:noWrap w:val="0"/>
            <w:vAlign w:val="center"/>
          </w:tcPr>
          <w:p w14:paraId="0D182C50">
            <w:pPr>
              <w:keepNext w:val="0"/>
              <w:keepLines w:val="0"/>
              <w:pageBreakBefore w:val="0"/>
              <w:widowControl/>
              <w:kinsoku/>
              <w:wordWrap/>
              <w:overflowPunct/>
              <w:topLinePunct w:val="0"/>
              <w:bidi w:val="0"/>
              <w:adjustRightInd/>
              <w:snapToGrid/>
              <w:spacing w:line="520" w:lineRule="exact"/>
              <w:jc w:val="both"/>
              <w:rPr>
                <w:rFonts w:hint="eastAsia" w:ascii="仿宋_GB2312" w:hAnsi="仿宋_GB2312" w:eastAsia="仿宋_GB2312" w:cs="仿宋_GB2312"/>
                <w:i w:val="0"/>
                <w:iCs w:val="0"/>
                <w:color w:val="000000"/>
                <w:sz w:val="28"/>
                <w:szCs w:val="28"/>
                <w:u w:val="none"/>
              </w:rPr>
            </w:pPr>
          </w:p>
        </w:tc>
      </w:tr>
      <w:tr w14:paraId="37FBE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40" w:hRule="atLeast"/>
        </w:trPr>
        <w:tc>
          <w:tcPr>
            <w:tcW w:w="737" w:type="dxa"/>
            <w:vMerge w:val="continue"/>
            <w:tcBorders>
              <w:tl2br w:val="nil"/>
              <w:tr2bl w:val="nil"/>
            </w:tcBorders>
            <w:noWrap w:val="0"/>
            <w:vAlign w:val="center"/>
          </w:tcPr>
          <w:p w14:paraId="0A52B9B7">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094F03F5">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2CC22CD6">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市政公用工程（城乡供水节水、排水防涝、污水处理及再生水利用）</w:t>
            </w:r>
          </w:p>
        </w:tc>
        <w:tc>
          <w:tcPr>
            <w:tcW w:w="1707" w:type="dxa"/>
            <w:tcBorders>
              <w:tl2br w:val="nil"/>
              <w:tr2bl w:val="nil"/>
            </w:tcBorders>
            <w:noWrap w:val="0"/>
            <w:vAlign w:val="center"/>
          </w:tcPr>
          <w:p w14:paraId="5FABBC78">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水务部门</w:t>
            </w:r>
          </w:p>
        </w:tc>
        <w:tc>
          <w:tcPr>
            <w:tcW w:w="7380" w:type="dxa"/>
            <w:tcBorders>
              <w:tl2br w:val="nil"/>
              <w:tr2bl w:val="nil"/>
            </w:tcBorders>
            <w:noWrap w:val="0"/>
            <w:vAlign w:val="center"/>
          </w:tcPr>
          <w:p w14:paraId="7AC4F8F4">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负责项目的招投标活动的监督执法：1.通过省“机器管招投标”行政监督平台对招投标情况等实施监督；2.依法开展监督检查；3.建立健全投诉接收、转办、反馈工作机制，依法查处违法违规行为。</w:t>
            </w:r>
          </w:p>
        </w:tc>
        <w:tc>
          <w:tcPr>
            <w:tcW w:w="4798" w:type="dxa"/>
            <w:tcBorders>
              <w:tl2br w:val="nil"/>
              <w:tr2bl w:val="nil"/>
            </w:tcBorders>
            <w:noWrap w:val="0"/>
            <w:vAlign w:val="center"/>
          </w:tcPr>
          <w:p w14:paraId="77522C5C">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水利工程建设项目招标投标管理规定》《水利工程建设项目招标投标行政监督暂行规定》《工程建设项目招标投标活动投诉处理办法》《海南省公共资源交易管理办法》等</w:t>
            </w:r>
          </w:p>
        </w:tc>
      </w:tr>
      <w:tr w14:paraId="60D60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0" w:hRule="atLeast"/>
        </w:trPr>
        <w:tc>
          <w:tcPr>
            <w:tcW w:w="737" w:type="dxa"/>
            <w:vMerge w:val="restart"/>
            <w:tcBorders>
              <w:tl2br w:val="nil"/>
              <w:tr2bl w:val="nil"/>
            </w:tcBorders>
            <w:noWrap w:val="0"/>
            <w:vAlign w:val="center"/>
          </w:tcPr>
          <w:p w14:paraId="72EFED7B">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A02</w:t>
            </w:r>
          </w:p>
        </w:tc>
        <w:tc>
          <w:tcPr>
            <w:tcW w:w="1350" w:type="dxa"/>
            <w:vMerge w:val="restart"/>
            <w:tcBorders>
              <w:tl2br w:val="nil"/>
              <w:tr2bl w:val="nil"/>
            </w:tcBorders>
            <w:noWrap w:val="0"/>
            <w:vAlign w:val="center"/>
          </w:tcPr>
          <w:p w14:paraId="221FA3B4">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交通运输工程</w:t>
            </w:r>
          </w:p>
        </w:tc>
        <w:tc>
          <w:tcPr>
            <w:tcW w:w="3768" w:type="dxa"/>
            <w:tcBorders>
              <w:tl2br w:val="nil"/>
              <w:tr2bl w:val="nil"/>
            </w:tcBorders>
            <w:noWrap w:val="0"/>
            <w:vAlign w:val="center"/>
          </w:tcPr>
          <w:p w14:paraId="4CEA6251">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铁路工程</w:t>
            </w:r>
          </w:p>
        </w:tc>
        <w:tc>
          <w:tcPr>
            <w:tcW w:w="1707" w:type="dxa"/>
            <w:tcBorders>
              <w:tl2br w:val="nil"/>
              <w:tr2bl w:val="nil"/>
            </w:tcBorders>
            <w:noWrap w:val="0"/>
            <w:vAlign w:val="center"/>
          </w:tcPr>
          <w:p w14:paraId="1F0D161E">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铁路主管</w:t>
            </w:r>
          </w:p>
          <w:p w14:paraId="39A33F4D">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部门</w:t>
            </w:r>
          </w:p>
        </w:tc>
        <w:tc>
          <w:tcPr>
            <w:tcW w:w="7380" w:type="dxa"/>
            <w:tcBorders>
              <w:tl2br w:val="nil"/>
              <w:tr2bl w:val="nil"/>
            </w:tcBorders>
            <w:noWrap w:val="0"/>
            <w:vAlign w:val="center"/>
          </w:tcPr>
          <w:p w14:paraId="1DCAD787">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负责铁路工程建设项目的招投标活动的监督执法，加强招投标过程监督：1.依法开展监督检查；2.建立健全投诉接收、转办、反馈工作机制，依法查处违法违规行为。</w:t>
            </w:r>
          </w:p>
        </w:tc>
        <w:tc>
          <w:tcPr>
            <w:tcW w:w="4798" w:type="dxa"/>
            <w:tcBorders>
              <w:tl2br w:val="nil"/>
              <w:tr2bl w:val="nil"/>
            </w:tcBorders>
            <w:noWrap w:val="0"/>
            <w:vAlign w:val="center"/>
          </w:tcPr>
          <w:p w14:paraId="629419A1">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《招标投标法》《招标投标法实施条例》《关于国务院有关部门实施招标投标活动行政监督的职责分工的意见》《铁路工程建设项目招标投标管理办法》等</w:t>
            </w:r>
          </w:p>
        </w:tc>
      </w:tr>
      <w:tr w14:paraId="32B4A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65" w:hRule="atLeast"/>
        </w:trPr>
        <w:tc>
          <w:tcPr>
            <w:tcW w:w="737" w:type="dxa"/>
            <w:vMerge w:val="continue"/>
            <w:tcBorders>
              <w:tl2br w:val="nil"/>
              <w:tr2bl w:val="nil"/>
            </w:tcBorders>
            <w:noWrap w:val="0"/>
            <w:vAlign w:val="center"/>
          </w:tcPr>
          <w:p w14:paraId="0A4D62B8">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786E54B4">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00205D7E">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公路工程</w:t>
            </w:r>
          </w:p>
        </w:tc>
        <w:tc>
          <w:tcPr>
            <w:tcW w:w="1707" w:type="dxa"/>
            <w:vMerge w:val="restart"/>
            <w:tcBorders>
              <w:tl2br w:val="nil"/>
              <w:tr2bl w:val="nil"/>
            </w:tcBorders>
            <w:noWrap w:val="0"/>
            <w:vAlign w:val="center"/>
          </w:tcPr>
          <w:p w14:paraId="109928C3">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交通运输</w:t>
            </w:r>
          </w:p>
          <w:p w14:paraId="772C470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部门</w:t>
            </w:r>
          </w:p>
        </w:tc>
        <w:tc>
          <w:tcPr>
            <w:tcW w:w="7380" w:type="dxa"/>
            <w:vMerge w:val="restart"/>
            <w:tcBorders>
              <w:tl2br w:val="nil"/>
              <w:tr2bl w:val="nil"/>
            </w:tcBorders>
            <w:noWrap w:val="0"/>
            <w:vAlign w:val="center"/>
          </w:tcPr>
          <w:p w14:paraId="02823768">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公路、水运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vMerge w:val="restart"/>
            <w:tcBorders>
              <w:tl2br w:val="nil"/>
              <w:tr2bl w:val="nil"/>
            </w:tcBorders>
            <w:noWrap w:val="0"/>
            <w:vAlign w:val="center"/>
          </w:tcPr>
          <w:p w14:paraId="499D0C7D">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《招标投标法》《招标投标法实施条例》《关于国务院有关部门实施招标投标活动行政监督的职责分工的意见》《公路工程建设项目招标投标管理办法》《海南省公共资源交易管理办法》等</w:t>
            </w:r>
          </w:p>
        </w:tc>
      </w:tr>
      <w:tr w14:paraId="66EFD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rPr>
        <w:tc>
          <w:tcPr>
            <w:tcW w:w="737" w:type="dxa"/>
            <w:vMerge w:val="continue"/>
            <w:tcBorders>
              <w:tl2br w:val="nil"/>
              <w:tr2bl w:val="nil"/>
            </w:tcBorders>
            <w:noWrap w:val="0"/>
            <w:vAlign w:val="center"/>
          </w:tcPr>
          <w:p w14:paraId="233E629A">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50FB4830">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669375F1">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水运工程</w:t>
            </w:r>
          </w:p>
        </w:tc>
        <w:tc>
          <w:tcPr>
            <w:tcW w:w="1707" w:type="dxa"/>
            <w:vMerge w:val="continue"/>
            <w:tcBorders>
              <w:tl2br w:val="nil"/>
              <w:tr2bl w:val="nil"/>
            </w:tcBorders>
            <w:noWrap w:val="0"/>
            <w:vAlign w:val="center"/>
          </w:tcPr>
          <w:p w14:paraId="6EF455EE">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7380" w:type="dxa"/>
            <w:vMerge w:val="continue"/>
            <w:tcBorders>
              <w:tl2br w:val="nil"/>
              <w:tr2bl w:val="nil"/>
            </w:tcBorders>
            <w:noWrap w:val="0"/>
            <w:vAlign w:val="center"/>
          </w:tcPr>
          <w:p w14:paraId="75D28EE4">
            <w:pPr>
              <w:keepNext w:val="0"/>
              <w:keepLines w:val="0"/>
              <w:pageBreakBefore w:val="0"/>
              <w:widowControl/>
              <w:kinsoku/>
              <w:wordWrap/>
              <w:overflowPunct/>
              <w:topLinePunct w:val="0"/>
              <w:bidi w:val="0"/>
              <w:adjustRightInd/>
              <w:snapToGrid/>
              <w:spacing w:line="520" w:lineRule="exact"/>
              <w:jc w:val="both"/>
              <w:rPr>
                <w:rFonts w:hint="eastAsia" w:ascii="仿宋_GB2312" w:hAnsi="仿宋_GB2312" w:eastAsia="仿宋_GB2312" w:cs="仿宋_GB2312"/>
                <w:i w:val="0"/>
                <w:iCs w:val="0"/>
                <w:color w:val="000000"/>
                <w:sz w:val="28"/>
                <w:szCs w:val="28"/>
                <w:u w:val="none"/>
              </w:rPr>
            </w:pPr>
          </w:p>
        </w:tc>
        <w:tc>
          <w:tcPr>
            <w:tcW w:w="4798" w:type="dxa"/>
            <w:vMerge w:val="continue"/>
            <w:tcBorders>
              <w:tl2br w:val="nil"/>
              <w:tr2bl w:val="nil"/>
            </w:tcBorders>
            <w:noWrap w:val="0"/>
            <w:vAlign w:val="center"/>
          </w:tcPr>
          <w:p w14:paraId="77B26D55">
            <w:pPr>
              <w:keepNext w:val="0"/>
              <w:keepLines w:val="0"/>
              <w:pageBreakBefore w:val="0"/>
              <w:widowControl/>
              <w:kinsoku/>
              <w:wordWrap/>
              <w:overflowPunct/>
              <w:topLinePunct w:val="0"/>
              <w:bidi w:val="0"/>
              <w:adjustRightInd/>
              <w:snapToGrid/>
              <w:spacing w:line="520" w:lineRule="exact"/>
              <w:rPr>
                <w:rFonts w:hint="eastAsia" w:ascii="仿宋_GB2312" w:hAnsi="仿宋_GB2312" w:eastAsia="仿宋_GB2312" w:cs="仿宋_GB2312"/>
                <w:i w:val="0"/>
                <w:iCs w:val="0"/>
                <w:color w:val="000000"/>
                <w:sz w:val="28"/>
                <w:szCs w:val="28"/>
                <w:u w:val="none"/>
              </w:rPr>
            </w:pPr>
          </w:p>
        </w:tc>
      </w:tr>
      <w:tr w14:paraId="18B28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20" w:hRule="atLeast"/>
        </w:trPr>
        <w:tc>
          <w:tcPr>
            <w:tcW w:w="737" w:type="dxa"/>
            <w:vMerge w:val="continue"/>
            <w:tcBorders>
              <w:tl2br w:val="nil"/>
              <w:tr2bl w:val="nil"/>
            </w:tcBorders>
            <w:noWrap w:val="0"/>
            <w:vAlign w:val="center"/>
          </w:tcPr>
          <w:p w14:paraId="64228AD4">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12450901">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15BA5093">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民航建设工程</w:t>
            </w:r>
          </w:p>
        </w:tc>
        <w:tc>
          <w:tcPr>
            <w:tcW w:w="1707" w:type="dxa"/>
            <w:tcBorders>
              <w:tl2br w:val="nil"/>
              <w:tr2bl w:val="nil"/>
            </w:tcBorders>
            <w:noWrap w:val="0"/>
            <w:vAlign w:val="center"/>
          </w:tcPr>
          <w:p w14:paraId="337812E6">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民航管理</w:t>
            </w:r>
          </w:p>
          <w:p w14:paraId="0E8671B8">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部门</w:t>
            </w:r>
          </w:p>
        </w:tc>
        <w:tc>
          <w:tcPr>
            <w:tcW w:w="7380" w:type="dxa"/>
            <w:tcBorders>
              <w:tl2br w:val="nil"/>
              <w:tr2bl w:val="nil"/>
            </w:tcBorders>
            <w:noWrap w:val="0"/>
            <w:vAlign w:val="center"/>
          </w:tcPr>
          <w:p w14:paraId="4C9EDCD6">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民航工程建设项目中的民航专业工程辅助设施的小型房屋建筑（如：围界工程通道口、灯光变电站、消防泵房等）的招投标活动的监督执法，加强招投标过程监督：1.依法开展监督检查；2.依法受理投诉并进行处理；3.依法查处违法违规行为。</w:t>
            </w:r>
          </w:p>
        </w:tc>
        <w:tc>
          <w:tcPr>
            <w:tcW w:w="4798" w:type="dxa"/>
            <w:tcBorders>
              <w:tl2br w:val="nil"/>
              <w:tr2bl w:val="nil"/>
            </w:tcBorders>
            <w:noWrap w:val="0"/>
            <w:vAlign w:val="center"/>
          </w:tcPr>
          <w:p w14:paraId="77ACA2B1">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《招标投标法》《招标投标法实施条例》《关于国务院有关部门实施招标投标活动行政监督的职责分工的意见》《民用机场管理条例》《民航专业工程建设项目招标投标管理办法》等</w:t>
            </w:r>
          </w:p>
        </w:tc>
      </w:tr>
      <w:tr w14:paraId="4A446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40" w:hRule="atLeast"/>
        </w:trPr>
        <w:tc>
          <w:tcPr>
            <w:tcW w:w="737" w:type="dxa"/>
            <w:vMerge w:val="continue"/>
            <w:tcBorders>
              <w:tl2br w:val="nil"/>
              <w:tr2bl w:val="nil"/>
            </w:tcBorders>
            <w:noWrap w:val="0"/>
            <w:vAlign w:val="center"/>
          </w:tcPr>
          <w:p w14:paraId="27666D48">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198DC277">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3F3CCF84">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非民航专用工程中</w:t>
            </w:r>
            <w:r>
              <w:rPr>
                <w:rFonts w:hint="eastAsia" w:ascii="仿宋_GB2312" w:hAnsi="仿宋_GB2312" w:eastAsia="仿宋_GB2312" w:cs="仿宋_GB2312"/>
                <w:color w:val="000000"/>
                <w:sz w:val="28"/>
                <w:szCs w:val="28"/>
                <w:u w:val="none"/>
                <w:lang w:val="en-US" w:bidi="ar"/>
              </w:rPr>
              <w:t>由发改部门单独立项的</w:t>
            </w:r>
            <w:r>
              <w:rPr>
                <w:rFonts w:hint="eastAsia" w:ascii="仿宋_GB2312" w:hAnsi="仿宋_GB2312" w:eastAsia="仿宋_GB2312" w:cs="仿宋_GB2312"/>
                <w:i w:val="0"/>
                <w:iCs w:val="0"/>
                <w:color w:val="000000"/>
                <w:kern w:val="0"/>
                <w:sz w:val="28"/>
                <w:szCs w:val="28"/>
                <w:u w:val="none"/>
                <w:lang w:val="en-US" w:eastAsia="zh-CN" w:bidi="ar"/>
              </w:rPr>
              <w:t>功能相对独立和主要为办公服务的房屋建筑工程</w:t>
            </w:r>
          </w:p>
        </w:tc>
        <w:tc>
          <w:tcPr>
            <w:tcW w:w="1707" w:type="dxa"/>
            <w:tcBorders>
              <w:tl2br w:val="nil"/>
              <w:tr2bl w:val="nil"/>
            </w:tcBorders>
            <w:noWrap w:val="0"/>
            <w:vAlign w:val="center"/>
          </w:tcPr>
          <w:p w14:paraId="082D3CD8">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住房城乡</w:t>
            </w:r>
          </w:p>
          <w:p w14:paraId="6C406D86">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建设部门</w:t>
            </w:r>
          </w:p>
        </w:tc>
        <w:tc>
          <w:tcPr>
            <w:tcW w:w="7380" w:type="dxa"/>
            <w:tcBorders>
              <w:tl2br w:val="nil"/>
              <w:tr2bl w:val="nil"/>
            </w:tcBorders>
            <w:noWrap w:val="0"/>
            <w:vAlign w:val="center"/>
          </w:tcPr>
          <w:p w14:paraId="17EFE25D">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color w:val="000000"/>
                <w:sz w:val="28"/>
                <w:szCs w:val="28"/>
                <w:lang w:val="en-US" w:bidi="ar"/>
              </w:rPr>
              <w:t>负责非民航专用工程中由发改部门单独立项的功能相对独立和主要为办公服务的房屋建筑工程（如：特种车库、消防执勤点等）的招投标活动的监督执法，加强招投标过程监督</w:t>
            </w:r>
            <w:r>
              <w:rPr>
                <w:rFonts w:hint="eastAsia" w:ascii="仿宋_GB2312" w:hAnsi="仿宋_GB2312" w:eastAsia="仿宋_GB2312" w:cs="仿宋_GB2312"/>
                <w:i w:val="0"/>
                <w:iCs w:val="0"/>
                <w:color w:val="000000"/>
                <w:kern w:val="0"/>
                <w:sz w:val="28"/>
                <w:szCs w:val="28"/>
                <w:u w:val="none"/>
                <w:lang w:val="en-US" w:eastAsia="zh-CN" w:bidi="ar"/>
              </w:rPr>
              <w:t>：1.通过省“机器管招投标”行政监督平台对招投标情况等实施监督；2.依法开展监督检查；3.建立健全投诉接收、转办、反馈工作机制，依法查处违法违规行为。</w:t>
            </w:r>
          </w:p>
        </w:tc>
        <w:tc>
          <w:tcPr>
            <w:tcW w:w="4798" w:type="dxa"/>
            <w:tcBorders>
              <w:tl2br w:val="nil"/>
              <w:tr2bl w:val="nil"/>
            </w:tcBorders>
            <w:noWrap w:val="0"/>
            <w:vAlign w:val="center"/>
          </w:tcPr>
          <w:p w14:paraId="23C97557">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《招标投标法》《招标投标法实施条例》《关于国务院有关部门实施招标投标活动行政监督的职责分工的意见》《民用机场管理条例》《民航专业工程建设项目招标投标管理办法》等</w:t>
            </w:r>
          </w:p>
        </w:tc>
      </w:tr>
      <w:tr w14:paraId="2027E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37" w:type="dxa"/>
            <w:vMerge w:val="restart"/>
            <w:tcBorders>
              <w:tl2br w:val="nil"/>
              <w:tr2bl w:val="nil"/>
            </w:tcBorders>
            <w:noWrap w:val="0"/>
            <w:vAlign w:val="center"/>
          </w:tcPr>
          <w:p w14:paraId="5E596464">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A03</w:t>
            </w:r>
          </w:p>
        </w:tc>
        <w:tc>
          <w:tcPr>
            <w:tcW w:w="1350" w:type="dxa"/>
            <w:vMerge w:val="restart"/>
            <w:tcBorders>
              <w:tl2br w:val="nil"/>
              <w:tr2bl w:val="nil"/>
            </w:tcBorders>
            <w:noWrap w:val="0"/>
            <w:vAlign w:val="center"/>
          </w:tcPr>
          <w:p w14:paraId="223CCF91">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水利工程</w:t>
            </w:r>
          </w:p>
        </w:tc>
        <w:tc>
          <w:tcPr>
            <w:tcW w:w="3768" w:type="dxa"/>
            <w:tcBorders>
              <w:tl2br w:val="nil"/>
              <w:tr2bl w:val="nil"/>
            </w:tcBorders>
            <w:noWrap w:val="0"/>
            <w:vAlign w:val="center"/>
          </w:tcPr>
          <w:p w14:paraId="10C15768">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p>
          <w:p w14:paraId="01CA2471">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水利水电工程</w:t>
            </w:r>
          </w:p>
        </w:tc>
        <w:tc>
          <w:tcPr>
            <w:tcW w:w="1707" w:type="dxa"/>
            <w:vMerge w:val="restart"/>
            <w:tcBorders>
              <w:tl2br w:val="nil"/>
              <w:tr2bl w:val="nil"/>
            </w:tcBorders>
            <w:noWrap w:val="0"/>
            <w:vAlign w:val="center"/>
          </w:tcPr>
          <w:p w14:paraId="5F17B41D">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水务部门</w:t>
            </w:r>
          </w:p>
        </w:tc>
        <w:tc>
          <w:tcPr>
            <w:tcW w:w="7380" w:type="dxa"/>
            <w:vMerge w:val="restart"/>
            <w:tcBorders>
              <w:tl2br w:val="nil"/>
              <w:tr2bl w:val="nil"/>
            </w:tcBorders>
            <w:noWrap w:val="0"/>
            <w:vAlign w:val="center"/>
          </w:tcPr>
          <w:p w14:paraId="1EE21D3C">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负责水利工程建设项目的招投标活动的监督执法：1.通过省“机器管招投标”行政监督平台对招投标情况等实施监督；2.依法开展监督检查；3.建立健全投诉接收、转办、反馈工作机制，依法查处违法违规行为。</w:t>
            </w:r>
          </w:p>
        </w:tc>
        <w:tc>
          <w:tcPr>
            <w:tcW w:w="4798" w:type="dxa"/>
            <w:vMerge w:val="restart"/>
            <w:tcBorders>
              <w:tl2br w:val="nil"/>
              <w:tr2bl w:val="nil"/>
            </w:tcBorders>
            <w:noWrap w:val="0"/>
            <w:vAlign w:val="center"/>
          </w:tcPr>
          <w:p w14:paraId="481A4CE1">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水利工程建设项目招标投标管理规定》《水利工程建设项目招标投标行政监督暂行规定》《工程建设项目招标投标活动投诉处理办法》《海南省公共资源交易管理办法》等</w:t>
            </w:r>
          </w:p>
        </w:tc>
      </w:tr>
      <w:tr w14:paraId="0816C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0" w:hRule="atLeast"/>
        </w:trPr>
        <w:tc>
          <w:tcPr>
            <w:tcW w:w="737" w:type="dxa"/>
            <w:tcBorders>
              <w:tl2br w:val="nil"/>
              <w:tr2bl w:val="nil"/>
            </w:tcBorders>
            <w:noWrap w:val="0"/>
            <w:vAlign w:val="center"/>
          </w:tcPr>
          <w:p w14:paraId="5663E7C2">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A04</w:t>
            </w:r>
          </w:p>
        </w:tc>
        <w:tc>
          <w:tcPr>
            <w:tcW w:w="1350" w:type="dxa"/>
            <w:tcBorders>
              <w:tl2br w:val="nil"/>
              <w:tr2bl w:val="nil"/>
            </w:tcBorders>
            <w:noWrap w:val="0"/>
            <w:vAlign w:val="center"/>
          </w:tcPr>
          <w:p w14:paraId="3C5503E5">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能源工程</w:t>
            </w:r>
          </w:p>
        </w:tc>
        <w:tc>
          <w:tcPr>
            <w:tcW w:w="3768" w:type="dxa"/>
            <w:tcBorders>
              <w:tl2br w:val="nil"/>
              <w:tr2bl w:val="nil"/>
            </w:tcBorders>
            <w:noWrap w:val="0"/>
            <w:vAlign w:val="center"/>
          </w:tcPr>
          <w:p w14:paraId="08294EF3">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煤炭、石油、天然气、核能、水能、风能、太阳能、生物质能、地热能、海洋能以及电力、热力、氢能等能源基础设施项目，不含为其他行业主体工程配套建设的配电、电力迁改等工程。（电力10KV以上）</w:t>
            </w:r>
          </w:p>
        </w:tc>
        <w:tc>
          <w:tcPr>
            <w:tcW w:w="1707" w:type="dxa"/>
            <w:tcBorders>
              <w:tl2br w:val="nil"/>
              <w:tr2bl w:val="nil"/>
            </w:tcBorders>
            <w:noWrap w:val="0"/>
            <w:vAlign w:val="center"/>
          </w:tcPr>
          <w:p w14:paraId="2DBAA5DE">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发改（能源）部门</w:t>
            </w:r>
          </w:p>
        </w:tc>
        <w:tc>
          <w:tcPr>
            <w:tcW w:w="7380" w:type="dxa"/>
            <w:tcBorders>
              <w:tl2br w:val="nil"/>
              <w:tr2bl w:val="nil"/>
            </w:tcBorders>
            <w:noWrap w:val="0"/>
            <w:vAlign w:val="center"/>
          </w:tcPr>
          <w:p w14:paraId="5758C14D">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能源工程建设项目的招投标活动的监督执法：1.按要求对审批（核准）项目的招标范围、招标方式、招标组织形式进行批复；2.督促审批（核准）范围内的项目业主按规定履行招标程序；3.督促审批（核准）范围内的项目业主及时提交招标投标情况的书面报告；4.建立健全投诉接收、转办、反馈工作机制，依法查处违法违规行为。</w:t>
            </w:r>
          </w:p>
        </w:tc>
        <w:tc>
          <w:tcPr>
            <w:tcW w:w="4798" w:type="dxa"/>
            <w:tcBorders>
              <w:tl2br w:val="nil"/>
              <w:tr2bl w:val="nil"/>
            </w:tcBorders>
            <w:noWrap w:val="0"/>
            <w:vAlign w:val="center"/>
          </w:tcPr>
          <w:p w14:paraId="52312769">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《招标投标法》《招标投标法实施条例》《关于国务院有关部门实施招标投标活动行政监督的职责分工的意见》《海南省公共资源交易管理办法》等</w:t>
            </w:r>
          </w:p>
        </w:tc>
      </w:tr>
      <w:tr w14:paraId="0A380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0" w:hRule="atLeast"/>
        </w:trPr>
        <w:tc>
          <w:tcPr>
            <w:tcW w:w="737" w:type="dxa"/>
            <w:tcBorders>
              <w:tl2br w:val="nil"/>
              <w:tr2bl w:val="nil"/>
            </w:tcBorders>
            <w:noWrap w:val="0"/>
            <w:vAlign w:val="center"/>
          </w:tcPr>
          <w:p w14:paraId="6197FE20">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A05</w:t>
            </w:r>
          </w:p>
        </w:tc>
        <w:tc>
          <w:tcPr>
            <w:tcW w:w="1350" w:type="dxa"/>
            <w:tcBorders>
              <w:tl2br w:val="nil"/>
              <w:tr2bl w:val="nil"/>
            </w:tcBorders>
            <w:noWrap w:val="0"/>
            <w:vAlign w:val="center"/>
          </w:tcPr>
          <w:p w14:paraId="0A4771EF">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农业农村工程</w:t>
            </w:r>
          </w:p>
        </w:tc>
        <w:tc>
          <w:tcPr>
            <w:tcW w:w="3768" w:type="dxa"/>
            <w:tcBorders>
              <w:tl2br w:val="nil"/>
              <w:tr2bl w:val="nil"/>
            </w:tcBorders>
            <w:noWrap w:val="0"/>
            <w:vAlign w:val="center"/>
          </w:tcPr>
          <w:p w14:paraId="01BD026A">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农田建设工程、农业育种和种业工程、其他农业农村工程</w:t>
            </w:r>
          </w:p>
        </w:tc>
        <w:tc>
          <w:tcPr>
            <w:tcW w:w="1707" w:type="dxa"/>
            <w:vMerge w:val="restart"/>
            <w:tcBorders>
              <w:tl2br w:val="nil"/>
              <w:tr2bl w:val="nil"/>
            </w:tcBorders>
            <w:noWrap w:val="0"/>
            <w:vAlign w:val="center"/>
          </w:tcPr>
          <w:p w14:paraId="4057F2D5">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农业农村</w:t>
            </w:r>
          </w:p>
          <w:p w14:paraId="0C0AA33B">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部门</w:t>
            </w:r>
          </w:p>
        </w:tc>
        <w:tc>
          <w:tcPr>
            <w:tcW w:w="7380" w:type="dxa"/>
            <w:tcBorders>
              <w:tl2br w:val="nil"/>
              <w:tr2bl w:val="nil"/>
            </w:tcBorders>
            <w:noWrap w:val="0"/>
            <w:vAlign w:val="center"/>
          </w:tcPr>
          <w:p w14:paraId="04D39105">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农业农村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vMerge w:val="restart"/>
            <w:tcBorders>
              <w:tl2br w:val="nil"/>
              <w:tr2bl w:val="nil"/>
            </w:tcBorders>
            <w:noWrap w:val="0"/>
            <w:vAlign w:val="center"/>
          </w:tcPr>
          <w:p w14:paraId="545CCE06">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农业农村部中央预算内投资补助农业建设项目管理办法》《农业农村部中央预算内直接投资农业建设项目管理办法》《海南省公共资源交易管理办法》等</w:t>
            </w:r>
          </w:p>
        </w:tc>
      </w:tr>
      <w:tr w14:paraId="57863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60" w:hRule="atLeast"/>
        </w:trPr>
        <w:tc>
          <w:tcPr>
            <w:tcW w:w="737" w:type="dxa"/>
            <w:tcBorders>
              <w:tl2br w:val="nil"/>
              <w:tr2bl w:val="nil"/>
            </w:tcBorders>
            <w:noWrap w:val="0"/>
            <w:vAlign w:val="center"/>
          </w:tcPr>
          <w:p w14:paraId="72CE6979">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A06</w:t>
            </w:r>
          </w:p>
        </w:tc>
        <w:tc>
          <w:tcPr>
            <w:tcW w:w="1350" w:type="dxa"/>
            <w:tcBorders>
              <w:tl2br w:val="nil"/>
              <w:tr2bl w:val="nil"/>
            </w:tcBorders>
            <w:noWrap w:val="0"/>
            <w:vAlign w:val="center"/>
          </w:tcPr>
          <w:p w14:paraId="0D11A119">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渔业工程</w:t>
            </w:r>
          </w:p>
        </w:tc>
        <w:tc>
          <w:tcPr>
            <w:tcW w:w="3768" w:type="dxa"/>
            <w:tcBorders>
              <w:tl2br w:val="nil"/>
              <w:tr2bl w:val="nil"/>
            </w:tcBorders>
            <w:noWrap w:val="0"/>
            <w:vAlign w:val="center"/>
          </w:tcPr>
          <w:p w14:paraId="5C468120">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渔港、渔政工程、人工鱼礁项目、水产养殖和渔业资源开发利用工程、其它海洋渔业工程</w:t>
            </w:r>
          </w:p>
        </w:tc>
        <w:tc>
          <w:tcPr>
            <w:tcW w:w="1707" w:type="dxa"/>
            <w:vMerge w:val="continue"/>
            <w:tcBorders>
              <w:tl2br w:val="nil"/>
              <w:tr2bl w:val="nil"/>
            </w:tcBorders>
            <w:noWrap w:val="0"/>
            <w:vAlign w:val="center"/>
          </w:tcPr>
          <w:p w14:paraId="685DC9C4">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7380" w:type="dxa"/>
            <w:tcBorders>
              <w:tl2br w:val="nil"/>
              <w:tr2bl w:val="nil"/>
            </w:tcBorders>
            <w:noWrap w:val="0"/>
            <w:vAlign w:val="center"/>
          </w:tcPr>
          <w:p w14:paraId="0C65E3FD">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渔业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vMerge w:val="continue"/>
            <w:tcBorders>
              <w:tl2br w:val="nil"/>
              <w:tr2bl w:val="nil"/>
            </w:tcBorders>
            <w:noWrap w:val="0"/>
            <w:vAlign w:val="center"/>
          </w:tcPr>
          <w:p w14:paraId="7E8A612E">
            <w:pPr>
              <w:keepNext w:val="0"/>
              <w:keepLines w:val="0"/>
              <w:pageBreakBefore w:val="0"/>
              <w:widowControl/>
              <w:kinsoku/>
              <w:wordWrap/>
              <w:overflowPunct/>
              <w:topLinePunct w:val="0"/>
              <w:bidi w:val="0"/>
              <w:adjustRightInd/>
              <w:snapToGrid/>
              <w:spacing w:line="520" w:lineRule="exact"/>
              <w:jc w:val="both"/>
              <w:rPr>
                <w:rFonts w:hint="eastAsia" w:ascii="仿宋_GB2312" w:hAnsi="仿宋_GB2312" w:eastAsia="仿宋_GB2312" w:cs="仿宋_GB2312"/>
                <w:i w:val="0"/>
                <w:iCs w:val="0"/>
                <w:color w:val="000000"/>
                <w:sz w:val="28"/>
                <w:szCs w:val="28"/>
                <w:u w:val="none"/>
              </w:rPr>
            </w:pPr>
          </w:p>
        </w:tc>
      </w:tr>
      <w:tr w14:paraId="51AA1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60" w:hRule="atLeast"/>
        </w:trPr>
        <w:tc>
          <w:tcPr>
            <w:tcW w:w="737" w:type="dxa"/>
            <w:tcBorders>
              <w:tl2br w:val="nil"/>
              <w:tr2bl w:val="nil"/>
            </w:tcBorders>
            <w:noWrap w:val="0"/>
            <w:vAlign w:val="center"/>
          </w:tcPr>
          <w:p w14:paraId="579C3FB5">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A07</w:t>
            </w:r>
          </w:p>
        </w:tc>
        <w:tc>
          <w:tcPr>
            <w:tcW w:w="1350" w:type="dxa"/>
            <w:tcBorders>
              <w:tl2br w:val="nil"/>
              <w:tr2bl w:val="nil"/>
            </w:tcBorders>
            <w:noWrap w:val="0"/>
            <w:vAlign w:val="center"/>
          </w:tcPr>
          <w:p w14:paraId="6E11B2FC">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林业工程</w:t>
            </w:r>
          </w:p>
        </w:tc>
        <w:tc>
          <w:tcPr>
            <w:tcW w:w="3768" w:type="dxa"/>
            <w:tcBorders>
              <w:tl2br w:val="nil"/>
              <w:tr2bl w:val="nil"/>
            </w:tcBorders>
            <w:noWrap w:val="0"/>
            <w:vAlign w:val="center"/>
          </w:tcPr>
          <w:p w14:paraId="793458D3">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防护林工程、退耕还林工程、天然林保护工程、湿地保护工程、林业生态修复工程、其它林业工程</w:t>
            </w:r>
          </w:p>
        </w:tc>
        <w:tc>
          <w:tcPr>
            <w:tcW w:w="1707" w:type="dxa"/>
            <w:tcBorders>
              <w:tl2br w:val="nil"/>
              <w:tr2bl w:val="nil"/>
            </w:tcBorders>
            <w:noWrap w:val="0"/>
            <w:vAlign w:val="center"/>
          </w:tcPr>
          <w:p w14:paraId="436CE4D5">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林业部门</w:t>
            </w:r>
          </w:p>
        </w:tc>
        <w:tc>
          <w:tcPr>
            <w:tcW w:w="7380" w:type="dxa"/>
            <w:tcBorders>
              <w:tl2br w:val="nil"/>
              <w:tr2bl w:val="nil"/>
            </w:tcBorders>
            <w:noWrap w:val="0"/>
            <w:vAlign w:val="center"/>
          </w:tcPr>
          <w:p w14:paraId="17A3E803">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林业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tcBorders>
              <w:tl2br w:val="nil"/>
              <w:tr2bl w:val="nil"/>
            </w:tcBorders>
            <w:noWrap w:val="0"/>
            <w:vAlign w:val="center"/>
          </w:tcPr>
          <w:p w14:paraId="3F76026A">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生态保护修复中央预算内投资专项管理办法》《国土绿化项目质量评价管理规定（试行）》《加强国土绿化资金项目管理若干措施》《海南省公共资源交易管理办法》等</w:t>
            </w:r>
          </w:p>
        </w:tc>
      </w:tr>
      <w:tr w14:paraId="704BD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40" w:hRule="atLeast"/>
        </w:trPr>
        <w:tc>
          <w:tcPr>
            <w:tcW w:w="737" w:type="dxa"/>
            <w:tcBorders>
              <w:tl2br w:val="nil"/>
              <w:tr2bl w:val="nil"/>
            </w:tcBorders>
            <w:noWrap w:val="0"/>
            <w:vAlign w:val="center"/>
          </w:tcPr>
          <w:p w14:paraId="455DC8B4">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A08</w:t>
            </w:r>
          </w:p>
        </w:tc>
        <w:tc>
          <w:tcPr>
            <w:tcW w:w="1350" w:type="dxa"/>
            <w:tcBorders>
              <w:tl2br w:val="nil"/>
              <w:tr2bl w:val="nil"/>
            </w:tcBorders>
            <w:noWrap w:val="0"/>
            <w:vAlign w:val="center"/>
          </w:tcPr>
          <w:p w14:paraId="70A3998C">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海洋工程</w:t>
            </w:r>
          </w:p>
        </w:tc>
        <w:tc>
          <w:tcPr>
            <w:tcW w:w="3768" w:type="dxa"/>
            <w:tcBorders>
              <w:tl2br w:val="nil"/>
              <w:tr2bl w:val="nil"/>
            </w:tcBorders>
            <w:noWrap w:val="0"/>
            <w:vAlign w:val="center"/>
          </w:tcPr>
          <w:p w14:paraId="5413C5A2">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color w:val="000000"/>
                <w:sz w:val="28"/>
                <w:szCs w:val="28"/>
                <w:lang w:val="en-US" w:bidi="ar"/>
              </w:rPr>
              <w:t>海洋预警监测防灾减灾、海洋矿产资源勘查开发</w:t>
            </w:r>
            <w:r>
              <w:rPr>
                <w:rFonts w:hint="eastAsia" w:ascii="仿宋_GB2312" w:hAnsi="仿宋_GB2312" w:eastAsia="仿宋_GB2312" w:cs="仿宋_GB2312"/>
                <w:color w:val="000000"/>
                <w:sz w:val="28"/>
                <w:szCs w:val="28"/>
                <w:lang w:val="en-US" w:eastAsia="zh-CN" w:bidi="ar"/>
              </w:rPr>
              <w:t>、海洋基础地质与综合调查</w:t>
            </w:r>
          </w:p>
        </w:tc>
        <w:tc>
          <w:tcPr>
            <w:tcW w:w="1707" w:type="dxa"/>
            <w:tcBorders>
              <w:tl2br w:val="nil"/>
              <w:tr2bl w:val="nil"/>
            </w:tcBorders>
            <w:noWrap w:val="0"/>
            <w:vAlign w:val="center"/>
          </w:tcPr>
          <w:p w14:paraId="3DA74172">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海洋部门</w:t>
            </w:r>
          </w:p>
        </w:tc>
        <w:tc>
          <w:tcPr>
            <w:tcW w:w="7380" w:type="dxa"/>
            <w:tcBorders>
              <w:tl2br w:val="nil"/>
              <w:tr2bl w:val="nil"/>
            </w:tcBorders>
            <w:noWrap w:val="0"/>
            <w:vAlign w:val="center"/>
          </w:tcPr>
          <w:p w14:paraId="355C7EE0">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w:t>
            </w:r>
            <w:r>
              <w:rPr>
                <w:rFonts w:hint="eastAsia" w:ascii="仿宋_GB2312" w:hAnsi="仿宋_GB2312" w:eastAsia="仿宋_GB2312" w:cs="仿宋_GB2312"/>
                <w:color w:val="000000"/>
                <w:sz w:val="28"/>
                <w:szCs w:val="28"/>
                <w:u w:val="none"/>
                <w:lang w:val="en-US" w:bidi="ar"/>
              </w:rPr>
              <w:t>海洋预警监测防灾减灾、海洋矿产资源勘查开发、海洋基础地质与综合调查</w:t>
            </w:r>
            <w:r>
              <w:rPr>
                <w:rFonts w:hint="eastAsia" w:ascii="仿宋_GB2312" w:hAnsi="仿宋_GB2312" w:eastAsia="仿宋_GB2312" w:cs="仿宋_GB2312"/>
                <w:i w:val="0"/>
                <w:iCs w:val="0"/>
                <w:color w:val="000000"/>
                <w:kern w:val="0"/>
                <w:sz w:val="28"/>
                <w:szCs w:val="28"/>
                <w:u w:val="none"/>
                <w:lang w:val="en-US" w:eastAsia="zh-CN" w:bidi="ar"/>
              </w:rPr>
              <w:t>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tcBorders>
              <w:tl2br w:val="nil"/>
              <w:tr2bl w:val="nil"/>
            </w:tcBorders>
            <w:noWrap w:val="0"/>
            <w:vAlign w:val="center"/>
          </w:tcPr>
          <w:p w14:paraId="4AADB812">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《招标投标法》《招标投标法实施条例》《关于国务院有关部门实施招标投标活动行政监督的职责分工的意见》《海南省公共资源交易管理办法》等</w:t>
            </w:r>
          </w:p>
        </w:tc>
      </w:tr>
      <w:tr w14:paraId="39105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0" w:hRule="atLeast"/>
        </w:trPr>
        <w:tc>
          <w:tcPr>
            <w:tcW w:w="737" w:type="dxa"/>
            <w:tcBorders>
              <w:tl2br w:val="nil"/>
              <w:tr2bl w:val="nil"/>
            </w:tcBorders>
            <w:noWrap w:val="0"/>
            <w:vAlign w:val="center"/>
          </w:tcPr>
          <w:p w14:paraId="565A25C4">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A09</w:t>
            </w:r>
          </w:p>
        </w:tc>
        <w:tc>
          <w:tcPr>
            <w:tcW w:w="1350" w:type="dxa"/>
            <w:tcBorders>
              <w:tl2br w:val="nil"/>
              <w:tr2bl w:val="nil"/>
            </w:tcBorders>
            <w:noWrap w:val="0"/>
            <w:vAlign w:val="center"/>
          </w:tcPr>
          <w:p w14:paraId="24B66536">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自然资源工程</w:t>
            </w:r>
          </w:p>
        </w:tc>
        <w:tc>
          <w:tcPr>
            <w:tcW w:w="3768" w:type="dxa"/>
            <w:tcBorders>
              <w:tl2br w:val="nil"/>
              <w:tr2bl w:val="nil"/>
            </w:tcBorders>
            <w:noWrap w:val="0"/>
            <w:vAlign w:val="center"/>
          </w:tcPr>
          <w:p w14:paraId="0B79D889">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矿山生态修复工程、海洋生态修复工程、耕地垦造工程、地质灾害治理工程</w:t>
            </w:r>
          </w:p>
        </w:tc>
        <w:tc>
          <w:tcPr>
            <w:tcW w:w="1707" w:type="dxa"/>
            <w:tcBorders>
              <w:tl2br w:val="nil"/>
              <w:tr2bl w:val="nil"/>
            </w:tcBorders>
            <w:noWrap w:val="0"/>
            <w:vAlign w:val="center"/>
          </w:tcPr>
          <w:p w14:paraId="0F0A6D3E">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自然资源</w:t>
            </w:r>
          </w:p>
          <w:p w14:paraId="49D51070">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和规划部门</w:t>
            </w:r>
          </w:p>
        </w:tc>
        <w:tc>
          <w:tcPr>
            <w:tcW w:w="7380" w:type="dxa"/>
            <w:tcBorders>
              <w:tl2br w:val="nil"/>
              <w:tr2bl w:val="nil"/>
            </w:tcBorders>
            <w:noWrap w:val="0"/>
            <w:vAlign w:val="center"/>
          </w:tcPr>
          <w:p w14:paraId="47D586FB">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自然资源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tcBorders>
              <w:tl2br w:val="nil"/>
              <w:tr2bl w:val="nil"/>
            </w:tcBorders>
            <w:noWrap w:val="0"/>
            <w:vAlign w:val="center"/>
          </w:tcPr>
          <w:p w14:paraId="460E1CE4">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《招标投标法》《招标投标法实施条例》《关于国务院有关部门实施招标投标活动行政监督的职责分工的意见》《海南省公共资源交易管理办法》等</w:t>
            </w:r>
          </w:p>
        </w:tc>
      </w:tr>
      <w:tr w14:paraId="1AC12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0" w:hRule="atLeast"/>
        </w:trPr>
        <w:tc>
          <w:tcPr>
            <w:tcW w:w="737" w:type="dxa"/>
            <w:vMerge w:val="restart"/>
            <w:tcBorders>
              <w:tl2br w:val="nil"/>
              <w:tr2bl w:val="nil"/>
            </w:tcBorders>
            <w:noWrap w:val="0"/>
            <w:vAlign w:val="center"/>
          </w:tcPr>
          <w:p w14:paraId="4578D654">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A10</w:t>
            </w:r>
          </w:p>
        </w:tc>
        <w:tc>
          <w:tcPr>
            <w:tcW w:w="1350" w:type="dxa"/>
            <w:vMerge w:val="restart"/>
            <w:tcBorders>
              <w:tl2br w:val="nil"/>
              <w:tr2bl w:val="nil"/>
            </w:tcBorders>
            <w:noWrap w:val="0"/>
            <w:vAlign w:val="center"/>
          </w:tcPr>
          <w:p w14:paraId="4E08C606">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信息化和工业工程</w:t>
            </w:r>
          </w:p>
        </w:tc>
        <w:tc>
          <w:tcPr>
            <w:tcW w:w="3768" w:type="dxa"/>
            <w:tcBorders>
              <w:tl2br w:val="nil"/>
              <w:tr2bl w:val="nil"/>
            </w:tcBorders>
            <w:noWrap w:val="0"/>
            <w:vAlign w:val="center"/>
          </w:tcPr>
          <w:p w14:paraId="04FC7BF7">
            <w:pPr>
              <w:keepNext w:val="0"/>
              <w:keepLines w:val="0"/>
              <w:pageBreakBefore w:val="0"/>
              <w:widowControl/>
              <w:suppressLineNumbers w:val="0"/>
              <w:kinsoku/>
              <w:wordWrap/>
              <w:overflowPunct/>
              <w:topLinePunct w:val="0"/>
              <w:bidi w:val="0"/>
              <w:adjustRightInd/>
              <w:snapToGrid/>
              <w:spacing w:line="520" w:lineRule="exact"/>
              <w:ind w:left="0" w:leftChars="0" w:firstLine="64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rPr>
              <w:t>其他工业制造领域</w:t>
            </w:r>
            <w:r>
              <w:rPr>
                <w:rFonts w:hint="eastAsia"/>
                <w:lang w:eastAsia="zh-CN"/>
              </w:rPr>
              <w:t>非政务</w:t>
            </w:r>
            <w:r>
              <w:rPr>
                <w:rFonts w:hint="eastAsia"/>
              </w:rPr>
              <w:t>信息化工程（</w:t>
            </w:r>
            <w:r>
              <w:rPr>
                <w:rFonts w:hint="eastAsia"/>
                <w:lang w:eastAsia="zh-CN"/>
              </w:rPr>
              <w:t>既</w:t>
            </w:r>
            <w:r>
              <w:rPr>
                <w:rFonts w:hint="eastAsia"/>
              </w:rPr>
              <w:t>不含非工业制造行业信息化工程</w:t>
            </w:r>
            <w:r>
              <w:rPr>
                <w:rFonts w:hint="eastAsia"/>
                <w:lang w:eastAsia="zh-CN"/>
              </w:rPr>
              <w:t>、航天行业信息化工程</w:t>
            </w:r>
            <w:r>
              <w:rPr>
                <w:rFonts w:hint="eastAsia"/>
              </w:rPr>
              <w:t>以及园区、实验室等配套信息化工程）</w:t>
            </w:r>
          </w:p>
        </w:tc>
        <w:tc>
          <w:tcPr>
            <w:tcW w:w="1707" w:type="dxa"/>
            <w:tcBorders>
              <w:tl2br w:val="nil"/>
              <w:tr2bl w:val="nil"/>
            </w:tcBorders>
            <w:noWrap w:val="0"/>
            <w:vAlign w:val="center"/>
          </w:tcPr>
          <w:p w14:paraId="757CF4D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仿宋_GB2312" w:hAnsi="仿宋_GB2312" w:eastAsia="仿宋_GB2312" w:cs="仿宋_GB2312"/>
                <w:color w:val="000000"/>
                <w:sz w:val="28"/>
                <w:szCs w:val="28"/>
                <w:lang w:val="en-US" w:bidi="ar"/>
              </w:rPr>
            </w:pPr>
            <w:r>
              <w:rPr>
                <w:rFonts w:hint="eastAsia" w:ascii="仿宋_GB2312" w:hAnsi="仿宋_GB2312" w:eastAsia="仿宋_GB2312" w:cs="仿宋_GB2312"/>
                <w:color w:val="000000"/>
                <w:sz w:val="28"/>
                <w:szCs w:val="28"/>
                <w:lang w:val="en-US" w:bidi="ar"/>
              </w:rPr>
              <w:t>项目属地</w:t>
            </w:r>
          </w:p>
          <w:p w14:paraId="758F78C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color w:val="000000"/>
                <w:sz w:val="28"/>
                <w:szCs w:val="28"/>
                <w:lang w:val="en-US" w:bidi="ar"/>
              </w:rPr>
              <w:t>工业和信息化部门</w:t>
            </w:r>
          </w:p>
        </w:tc>
        <w:tc>
          <w:tcPr>
            <w:tcW w:w="7380" w:type="dxa"/>
            <w:tcBorders>
              <w:tl2br w:val="nil"/>
              <w:tr2bl w:val="nil"/>
            </w:tcBorders>
            <w:noWrap w:val="0"/>
            <w:vAlign w:val="center"/>
          </w:tcPr>
          <w:p w14:paraId="3CD0E678">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信息化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tcBorders>
              <w:tl2br w:val="nil"/>
              <w:tr2bl w:val="nil"/>
            </w:tcBorders>
            <w:noWrap w:val="0"/>
            <w:vAlign w:val="center"/>
          </w:tcPr>
          <w:p w14:paraId="166FB15C">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国务院办公厅关于印发国家政务信息化项目建设管理办法的通知》《招标投标法》《招标投标法实施条例》《关于国务院有关部门实施招标投标活动行政监督的职责分工的意见》《海南省公共资源交易管理办法》《国务院办公厅关于印发国家政务信息化项目建设管理办法的通知》等</w:t>
            </w:r>
          </w:p>
        </w:tc>
      </w:tr>
      <w:tr w14:paraId="11681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0" w:hRule="atLeast"/>
        </w:trPr>
        <w:tc>
          <w:tcPr>
            <w:tcW w:w="737" w:type="dxa"/>
            <w:vMerge w:val="continue"/>
            <w:tcBorders>
              <w:tl2br w:val="nil"/>
              <w:tr2bl w:val="nil"/>
            </w:tcBorders>
            <w:noWrap w:val="0"/>
            <w:vAlign w:val="center"/>
          </w:tcPr>
          <w:p w14:paraId="7C112A74">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5952DAC2">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0FD0C8F7">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通信行业工程</w:t>
            </w:r>
          </w:p>
        </w:tc>
        <w:tc>
          <w:tcPr>
            <w:tcW w:w="1707" w:type="dxa"/>
            <w:tcBorders>
              <w:tl2br w:val="nil"/>
              <w:tr2bl w:val="nil"/>
            </w:tcBorders>
            <w:noWrap/>
            <w:vAlign w:val="center"/>
          </w:tcPr>
          <w:p w14:paraId="30CFE12C">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通信管理</w:t>
            </w:r>
          </w:p>
          <w:p w14:paraId="41A44C33">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部门</w:t>
            </w:r>
          </w:p>
        </w:tc>
        <w:tc>
          <w:tcPr>
            <w:tcW w:w="7380" w:type="dxa"/>
            <w:tcBorders>
              <w:tl2br w:val="nil"/>
              <w:tr2bl w:val="nil"/>
            </w:tcBorders>
            <w:noWrap w:val="0"/>
            <w:vAlign w:val="center"/>
          </w:tcPr>
          <w:p w14:paraId="3CE4E142">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按工业和信息化部要求，依法对通信工程建设项目招标投标活动实施监督。</w:t>
            </w:r>
          </w:p>
        </w:tc>
        <w:tc>
          <w:tcPr>
            <w:tcW w:w="4798" w:type="dxa"/>
            <w:tcBorders>
              <w:tl2br w:val="nil"/>
              <w:tr2bl w:val="nil"/>
            </w:tcBorders>
            <w:noWrap w:val="0"/>
            <w:vAlign w:val="center"/>
          </w:tcPr>
          <w:p w14:paraId="55F89B19">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《招标投标法》《招标投标法实施条例》《通信工程建设项目招标投标管理办法》《关于国务院有关部门实施招标投标活动行政监督的职责分工的意见》等</w:t>
            </w:r>
          </w:p>
        </w:tc>
      </w:tr>
      <w:tr w14:paraId="63C6F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0" w:hRule="atLeast"/>
        </w:trPr>
        <w:tc>
          <w:tcPr>
            <w:tcW w:w="737" w:type="dxa"/>
            <w:tcBorders>
              <w:tl2br w:val="nil"/>
              <w:tr2bl w:val="nil"/>
            </w:tcBorders>
            <w:noWrap w:val="0"/>
            <w:vAlign w:val="center"/>
          </w:tcPr>
          <w:p w14:paraId="67B32B0B">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A11</w:t>
            </w:r>
          </w:p>
        </w:tc>
        <w:tc>
          <w:tcPr>
            <w:tcW w:w="1350" w:type="dxa"/>
            <w:tcBorders>
              <w:tl2br w:val="nil"/>
              <w:tr2bl w:val="nil"/>
            </w:tcBorders>
            <w:noWrap w:val="0"/>
            <w:vAlign w:val="center"/>
          </w:tcPr>
          <w:p w14:paraId="72B16063">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文化广电体育工程</w:t>
            </w:r>
          </w:p>
        </w:tc>
        <w:tc>
          <w:tcPr>
            <w:tcW w:w="3768" w:type="dxa"/>
            <w:tcBorders>
              <w:tl2br w:val="nil"/>
              <w:tr2bl w:val="nil"/>
            </w:tcBorders>
            <w:noWrap w:val="0"/>
            <w:vAlign w:val="center"/>
          </w:tcPr>
          <w:p w14:paraId="5CB5BC59">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文化设施建设工程、文物保护工程、其它文化广电体育工程</w:t>
            </w:r>
          </w:p>
        </w:tc>
        <w:tc>
          <w:tcPr>
            <w:tcW w:w="1707" w:type="dxa"/>
            <w:tcBorders>
              <w:tl2br w:val="nil"/>
              <w:tr2bl w:val="nil"/>
            </w:tcBorders>
            <w:noWrap w:val="0"/>
            <w:vAlign w:val="center"/>
          </w:tcPr>
          <w:p w14:paraId="33616A3F">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旅游文化</w:t>
            </w:r>
          </w:p>
          <w:p w14:paraId="7EB8F99D">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广电部门</w:t>
            </w:r>
          </w:p>
        </w:tc>
        <w:tc>
          <w:tcPr>
            <w:tcW w:w="7380" w:type="dxa"/>
            <w:tcBorders>
              <w:tl2br w:val="nil"/>
              <w:tr2bl w:val="nil"/>
            </w:tcBorders>
            <w:noWrap w:val="0"/>
            <w:vAlign w:val="center"/>
          </w:tcPr>
          <w:p w14:paraId="1267E4E5">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文化广电体育工程建设项目的招投标活动的监督执法，加强招投标过程监督：1.通过省“机器管招投标”行政监督平台对招投标情况等实施监督；2.依法开展监督检查；3.建立健全投诉接收、转办、反馈工作机制，依法查处违法违规行为。</w:t>
            </w:r>
          </w:p>
        </w:tc>
        <w:tc>
          <w:tcPr>
            <w:tcW w:w="4798" w:type="dxa"/>
            <w:tcBorders>
              <w:tl2br w:val="nil"/>
              <w:tr2bl w:val="nil"/>
            </w:tcBorders>
            <w:noWrap w:val="0"/>
            <w:vAlign w:val="center"/>
          </w:tcPr>
          <w:p w14:paraId="767DFB7E">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《招标投标法》《招标投标法实施条例》《关于国务院有关部门实施招标投标活动行政监督的职责分工的意见》《海南省公共资源交易管理办法》等</w:t>
            </w:r>
          </w:p>
        </w:tc>
      </w:tr>
      <w:tr w14:paraId="1B318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0" w:hRule="atLeast"/>
        </w:trPr>
        <w:tc>
          <w:tcPr>
            <w:tcW w:w="737" w:type="dxa"/>
            <w:tcBorders>
              <w:tl2br w:val="nil"/>
              <w:tr2bl w:val="nil"/>
            </w:tcBorders>
            <w:noWrap w:val="0"/>
            <w:vAlign w:val="center"/>
          </w:tcPr>
          <w:p w14:paraId="60CD37C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A12</w:t>
            </w:r>
          </w:p>
        </w:tc>
        <w:tc>
          <w:tcPr>
            <w:tcW w:w="1350" w:type="dxa"/>
            <w:tcBorders>
              <w:tl2br w:val="nil"/>
              <w:tr2bl w:val="nil"/>
            </w:tcBorders>
            <w:noWrap w:val="0"/>
            <w:vAlign w:val="center"/>
          </w:tcPr>
          <w:p w14:paraId="367C3D0B">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生态环境工程</w:t>
            </w:r>
          </w:p>
        </w:tc>
        <w:tc>
          <w:tcPr>
            <w:tcW w:w="3768" w:type="dxa"/>
            <w:tcBorders>
              <w:tl2br w:val="nil"/>
              <w:tr2bl w:val="nil"/>
            </w:tcBorders>
            <w:noWrap w:val="0"/>
            <w:vAlign w:val="center"/>
          </w:tcPr>
          <w:p w14:paraId="451CB8F0">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大气污染防治工程、水污染防治工程、生态保护和修复工程、土壤污染防治工程、其它生态环境保护工程（含农村黑臭水体治理工程）</w:t>
            </w:r>
          </w:p>
        </w:tc>
        <w:tc>
          <w:tcPr>
            <w:tcW w:w="1707" w:type="dxa"/>
            <w:tcBorders>
              <w:tl2br w:val="nil"/>
              <w:tr2bl w:val="nil"/>
            </w:tcBorders>
            <w:noWrap w:val="0"/>
            <w:vAlign w:val="center"/>
          </w:tcPr>
          <w:p w14:paraId="70562D5B">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生态环境</w:t>
            </w:r>
          </w:p>
          <w:p w14:paraId="514ADEB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部门</w:t>
            </w:r>
          </w:p>
        </w:tc>
        <w:tc>
          <w:tcPr>
            <w:tcW w:w="7380" w:type="dxa"/>
            <w:tcBorders>
              <w:tl2br w:val="nil"/>
              <w:tr2bl w:val="nil"/>
            </w:tcBorders>
            <w:noWrap w:val="0"/>
            <w:vAlign w:val="center"/>
          </w:tcPr>
          <w:p w14:paraId="080468D0">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color w:val="000000"/>
                <w:sz w:val="28"/>
                <w:szCs w:val="28"/>
                <w:lang w:val="en-US" w:bidi="ar"/>
              </w:rPr>
              <w:t>负责生态环境工程建设项目的招投标活动的监督检查，加强招投标过程监督：1.通过省工程领域招标投标在线监管平台对招投标情况等实施监督；2.依法开展监督检查；3.依法受理投诉并进行处理。</w:t>
            </w:r>
          </w:p>
        </w:tc>
        <w:tc>
          <w:tcPr>
            <w:tcW w:w="4798" w:type="dxa"/>
            <w:tcBorders>
              <w:tl2br w:val="nil"/>
              <w:tr2bl w:val="nil"/>
            </w:tcBorders>
            <w:noWrap w:val="0"/>
            <w:vAlign w:val="center"/>
          </w:tcPr>
          <w:p w14:paraId="4B82D003">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《招标投标法》《招标投标法实施条例》《关于国务院有关部门实施招标投标活动行政监督的职责分工的意见》《海南省公共资源交易管理办法》等</w:t>
            </w:r>
          </w:p>
        </w:tc>
      </w:tr>
      <w:tr w14:paraId="544CD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5" w:hRule="atLeast"/>
        </w:trPr>
        <w:tc>
          <w:tcPr>
            <w:tcW w:w="737" w:type="dxa"/>
            <w:tcBorders>
              <w:tl2br w:val="nil"/>
              <w:tr2bl w:val="nil"/>
            </w:tcBorders>
            <w:noWrap w:val="0"/>
            <w:vAlign w:val="center"/>
          </w:tcPr>
          <w:p w14:paraId="781BB733">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A13</w:t>
            </w:r>
          </w:p>
        </w:tc>
        <w:tc>
          <w:tcPr>
            <w:tcW w:w="1350" w:type="dxa"/>
            <w:tcBorders>
              <w:tl2br w:val="nil"/>
              <w:tr2bl w:val="nil"/>
            </w:tcBorders>
            <w:noWrap w:val="0"/>
            <w:vAlign w:val="center"/>
          </w:tcPr>
          <w:p w14:paraId="1A696438">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气象工程</w:t>
            </w:r>
          </w:p>
        </w:tc>
        <w:tc>
          <w:tcPr>
            <w:tcW w:w="3768" w:type="dxa"/>
            <w:tcBorders>
              <w:tl2br w:val="nil"/>
              <w:tr2bl w:val="nil"/>
            </w:tcBorders>
            <w:noWrap w:val="0"/>
            <w:vAlign w:val="center"/>
          </w:tcPr>
          <w:p w14:paraId="21817CC2">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综合气象观测工程、气象预报与灾害预警工程、气候与气候变化、其它气象工程</w:t>
            </w:r>
          </w:p>
        </w:tc>
        <w:tc>
          <w:tcPr>
            <w:tcW w:w="1707" w:type="dxa"/>
            <w:tcBorders>
              <w:tl2br w:val="nil"/>
              <w:tr2bl w:val="nil"/>
            </w:tcBorders>
            <w:noWrap w:val="0"/>
            <w:vAlign w:val="center"/>
          </w:tcPr>
          <w:p w14:paraId="08371492">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气象部门</w:t>
            </w:r>
          </w:p>
        </w:tc>
        <w:tc>
          <w:tcPr>
            <w:tcW w:w="7380" w:type="dxa"/>
            <w:tcBorders>
              <w:tl2br w:val="nil"/>
              <w:tr2bl w:val="nil"/>
            </w:tcBorders>
            <w:noWrap w:val="0"/>
            <w:vAlign w:val="center"/>
          </w:tcPr>
          <w:p w14:paraId="30342193">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default"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负责气象工程建设项目的招投标活动的监督检查，加强招投标过程监督：1.依法开展监督检查；2.建立健全投诉接收、转办、反馈工作机制，依法查处违法违规行为。</w:t>
            </w:r>
          </w:p>
        </w:tc>
        <w:tc>
          <w:tcPr>
            <w:tcW w:w="4798" w:type="dxa"/>
            <w:tcBorders>
              <w:tl2br w:val="nil"/>
              <w:tr2bl w:val="nil"/>
            </w:tcBorders>
            <w:noWrap w:val="0"/>
            <w:vAlign w:val="center"/>
          </w:tcPr>
          <w:p w14:paraId="455A360B">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《招标投标法》《招标投标法实施条例》《关于国务院有关部门实施招标投标活动行政监督的职责分工的意见》《海南省公共资源交易管理办法》等</w:t>
            </w:r>
          </w:p>
        </w:tc>
      </w:tr>
      <w:tr w14:paraId="41950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2" w:hRule="atLeast"/>
        </w:trPr>
        <w:tc>
          <w:tcPr>
            <w:tcW w:w="737" w:type="dxa"/>
            <w:tcBorders>
              <w:tl2br w:val="nil"/>
              <w:tr2bl w:val="nil"/>
            </w:tcBorders>
            <w:noWrap w:val="0"/>
            <w:vAlign w:val="center"/>
          </w:tcPr>
          <w:p w14:paraId="418CC22F">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A14</w:t>
            </w:r>
          </w:p>
        </w:tc>
        <w:tc>
          <w:tcPr>
            <w:tcW w:w="1350" w:type="dxa"/>
            <w:tcBorders>
              <w:tl2br w:val="nil"/>
              <w:tr2bl w:val="nil"/>
            </w:tcBorders>
            <w:noWrap w:val="0"/>
            <w:vAlign w:val="center"/>
          </w:tcPr>
          <w:p w14:paraId="166DE877">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地震工程</w:t>
            </w:r>
          </w:p>
        </w:tc>
        <w:tc>
          <w:tcPr>
            <w:tcW w:w="3768" w:type="dxa"/>
            <w:tcBorders>
              <w:tl2br w:val="nil"/>
              <w:tr2bl w:val="nil"/>
            </w:tcBorders>
            <w:noWrap w:val="0"/>
            <w:vAlign w:val="center"/>
          </w:tcPr>
          <w:p w14:paraId="72FFF546">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地震监测预报工程、地震灾害预防工程、地震应急救援与救灾工程、其它地震工程</w:t>
            </w:r>
          </w:p>
        </w:tc>
        <w:tc>
          <w:tcPr>
            <w:tcW w:w="1707" w:type="dxa"/>
            <w:tcBorders>
              <w:tl2br w:val="nil"/>
              <w:tr2bl w:val="nil"/>
            </w:tcBorders>
            <w:noWrap w:val="0"/>
            <w:vAlign w:val="center"/>
          </w:tcPr>
          <w:p w14:paraId="5B36EE30">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地震部门</w:t>
            </w:r>
          </w:p>
        </w:tc>
        <w:tc>
          <w:tcPr>
            <w:tcW w:w="7380" w:type="dxa"/>
            <w:tcBorders>
              <w:tl2br w:val="nil"/>
              <w:tr2bl w:val="nil"/>
            </w:tcBorders>
            <w:noWrap w:val="0"/>
            <w:vAlign w:val="center"/>
          </w:tcPr>
          <w:p w14:paraId="79694FDB">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负责地震工程建设项目的招投标活动的监督执法，加强招投标过程监督：1.依法开展监督检查；2.建立健全投诉接收、转办、反馈工作机制，依法查处违法违规行为。</w:t>
            </w:r>
          </w:p>
        </w:tc>
        <w:tc>
          <w:tcPr>
            <w:tcW w:w="4798" w:type="dxa"/>
            <w:tcBorders>
              <w:tl2br w:val="nil"/>
              <w:tr2bl w:val="nil"/>
            </w:tcBorders>
            <w:noWrap w:val="0"/>
            <w:vAlign w:val="center"/>
          </w:tcPr>
          <w:p w14:paraId="7DB04F61">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《招标投标法》《招标投标法实施条例》《关于国务院有关部门实施招标投标活动行政监督的职责分工的意见》《海南省公共资源交易管理办法》等</w:t>
            </w:r>
          </w:p>
        </w:tc>
      </w:tr>
      <w:tr w14:paraId="4A3F0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19740" w:type="dxa"/>
            <w:gridSpan w:val="6"/>
            <w:tcBorders>
              <w:tl2br w:val="nil"/>
              <w:tr2bl w:val="nil"/>
            </w:tcBorders>
            <w:noWrap w:val="0"/>
            <w:vAlign w:val="center"/>
          </w:tcPr>
          <w:p w14:paraId="09FC0EA5">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楷体_GB2312" w:hAnsi="楷体_GB2312" w:eastAsia="楷体_GB2312" w:cs="楷体_GB2312"/>
                <w:i w:val="0"/>
                <w:iCs w:val="0"/>
                <w:color w:val="000000"/>
                <w:sz w:val="28"/>
                <w:szCs w:val="28"/>
                <w:u w:val="none"/>
              </w:rPr>
            </w:pPr>
            <w:r>
              <w:rPr>
                <w:rFonts w:hint="eastAsia" w:ascii="楷体_GB2312" w:hAnsi="楷体_GB2312" w:eastAsia="楷体_GB2312" w:cs="楷体_GB2312"/>
                <w:i w:val="0"/>
                <w:iCs w:val="0"/>
                <w:color w:val="000000"/>
                <w:kern w:val="0"/>
                <w:sz w:val="28"/>
                <w:szCs w:val="28"/>
                <w:u w:val="none"/>
                <w:lang w:val="en-US" w:eastAsia="zh-CN" w:bidi="ar"/>
              </w:rPr>
              <w:t>二、政府采购（B类）</w:t>
            </w:r>
          </w:p>
        </w:tc>
      </w:tr>
      <w:tr w14:paraId="236F4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0" w:hRule="atLeast"/>
        </w:trPr>
        <w:tc>
          <w:tcPr>
            <w:tcW w:w="737" w:type="dxa"/>
            <w:tcBorders>
              <w:tl2br w:val="nil"/>
              <w:tr2bl w:val="nil"/>
            </w:tcBorders>
            <w:noWrap w:val="0"/>
            <w:vAlign w:val="center"/>
          </w:tcPr>
          <w:p w14:paraId="32855B5E">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B01</w:t>
            </w:r>
          </w:p>
        </w:tc>
        <w:tc>
          <w:tcPr>
            <w:tcW w:w="1350" w:type="dxa"/>
            <w:tcBorders>
              <w:tl2br w:val="nil"/>
              <w:tr2bl w:val="nil"/>
            </w:tcBorders>
            <w:noWrap w:val="0"/>
            <w:vAlign w:val="center"/>
          </w:tcPr>
          <w:p w14:paraId="0A7CEE0C">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政府采购</w:t>
            </w:r>
          </w:p>
        </w:tc>
        <w:tc>
          <w:tcPr>
            <w:tcW w:w="3768" w:type="dxa"/>
            <w:tcBorders>
              <w:tl2br w:val="nil"/>
              <w:tr2bl w:val="nil"/>
            </w:tcBorders>
            <w:noWrap w:val="0"/>
            <w:vAlign w:val="center"/>
          </w:tcPr>
          <w:p w14:paraId="3EDAB656">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国家机关、事业单位和团体组织使用财政性资金采购依法制定的《集中采购目录》以内或者采购限额标准以上的货物、工程和服务。</w:t>
            </w:r>
          </w:p>
        </w:tc>
        <w:tc>
          <w:tcPr>
            <w:tcW w:w="1707" w:type="dxa"/>
            <w:tcBorders>
              <w:tl2br w:val="nil"/>
              <w:tr2bl w:val="nil"/>
            </w:tcBorders>
            <w:noWrap w:val="0"/>
            <w:vAlign w:val="center"/>
          </w:tcPr>
          <w:p w14:paraId="10DC40F8">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财政部门</w:t>
            </w:r>
          </w:p>
        </w:tc>
        <w:tc>
          <w:tcPr>
            <w:tcW w:w="7380" w:type="dxa"/>
            <w:tcBorders>
              <w:tl2br w:val="nil"/>
              <w:tr2bl w:val="nil"/>
            </w:tcBorders>
            <w:noWrap w:val="0"/>
            <w:vAlign w:val="center"/>
          </w:tcPr>
          <w:p w14:paraId="188D61CC">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依法履行对政府采购活动的监督管理职责：1.负责按规定办理政府采购非公开招标方式审批、框架协议采购方案审核、备案和政府采购进口产品核准；2.政府采购评审专家库的管理；3.对政府采购信息公告活动进行监督、检查和管理；4.管理和监督政府采购执行情况；对政府集中采购机构进行监督考核；对采购人、政府采购代理机构有关政府采购的法律、行政法规和规章的执行情况进行检查；5.受理政府采购活动中的供应商投诉，处理与政府采购活动有关的举报；6.参与部门政府采购预算的编制及调整等。</w:t>
            </w:r>
          </w:p>
        </w:tc>
        <w:tc>
          <w:tcPr>
            <w:tcW w:w="4798" w:type="dxa"/>
            <w:tcBorders>
              <w:tl2br w:val="nil"/>
              <w:tr2bl w:val="nil"/>
            </w:tcBorders>
            <w:noWrap w:val="0"/>
            <w:vAlign w:val="center"/>
          </w:tcPr>
          <w:p w14:paraId="0CFBD437">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《政府采购法》《政府采购法实施条例》《政府采购货物和服务招标投管理办法》等</w:t>
            </w:r>
          </w:p>
        </w:tc>
      </w:tr>
      <w:tr w14:paraId="1A5F1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0" w:hRule="atLeast"/>
        </w:trPr>
        <w:tc>
          <w:tcPr>
            <w:tcW w:w="19740" w:type="dxa"/>
            <w:gridSpan w:val="6"/>
            <w:tcBorders>
              <w:tl2br w:val="nil"/>
              <w:tr2bl w:val="nil"/>
            </w:tcBorders>
            <w:noWrap w:val="0"/>
            <w:vAlign w:val="center"/>
          </w:tcPr>
          <w:p w14:paraId="294FE59A">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楷体_GB2312" w:hAnsi="楷体_GB2312" w:eastAsia="楷体_GB2312" w:cs="楷体_GB2312"/>
                <w:i w:val="0"/>
                <w:iCs w:val="0"/>
                <w:color w:val="000000"/>
                <w:sz w:val="28"/>
                <w:szCs w:val="28"/>
                <w:u w:val="none"/>
              </w:rPr>
            </w:pPr>
            <w:r>
              <w:rPr>
                <w:rFonts w:hint="eastAsia" w:ascii="楷体_GB2312" w:hAnsi="楷体_GB2312" w:eastAsia="楷体_GB2312" w:cs="楷体_GB2312"/>
                <w:i w:val="0"/>
                <w:iCs w:val="0"/>
                <w:color w:val="000000"/>
                <w:kern w:val="0"/>
                <w:sz w:val="28"/>
                <w:szCs w:val="28"/>
                <w:u w:val="none"/>
                <w:lang w:val="en-US" w:eastAsia="zh-CN" w:bidi="ar"/>
              </w:rPr>
              <w:t>三、机电产品国际招标类（C类）</w:t>
            </w:r>
          </w:p>
        </w:tc>
      </w:tr>
      <w:tr w14:paraId="194DA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00" w:hRule="atLeast"/>
        </w:trPr>
        <w:tc>
          <w:tcPr>
            <w:tcW w:w="737" w:type="dxa"/>
            <w:tcBorders>
              <w:tl2br w:val="nil"/>
              <w:tr2bl w:val="nil"/>
            </w:tcBorders>
            <w:noWrap w:val="0"/>
            <w:vAlign w:val="center"/>
          </w:tcPr>
          <w:p w14:paraId="36029914">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C01</w:t>
            </w:r>
          </w:p>
        </w:tc>
        <w:tc>
          <w:tcPr>
            <w:tcW w:w="1350" w:type="dxa"/>
            <w:tcBorders>
              <w:tl2br w:val="nil"/>
              <w:tr2bl w:val="nil"/>
            </w:tcBorders>
            <w:noWrap w:val="0"/>
            <w:vAlign w:val="center"/>
          </w:tcPr>
          <w:p w14:paraId="5E46043D">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机电产品</w:t>
            </w:r>
            <w:r>
              <w:rPr>
                <w:rFonts w:hint="eastAsia" w:ascii="仿宋_GB2312" w:hAnsi="仿宋_GB2312" w:eastAsia="仿宋_GB2312" w:cs="仿宋_GB2312"/>
                <w:i w:val="0"/>
                <w:iCs w:val="0"/>
                <w:color w:val="000000"/>
                <w:kern w:val="0"/>
                <w:sz w:val="28"/>
                <w:szCs w:val="28"/>
                <w:u w:val="none"/>
                <w:lang w:val="en-US" w:eastAsia="zh-CN" w:bidi="ar"/>
              </w:rPr>
              <w:br w:type="textWrapping"/>
            </w:r>
            <w:r>
              <w:rPr>
                <w:rFonts w:hint="eastAsia" w:ascii="仿宋_GB2312" w:hAnsi="仿宋_GB2312" w:eastAsia="仿宋_GB2312" w:cs="仿宋_GB2312"/>
                <w:i w:val="0"/>
                <w:iCs w:val="0"/>
                <w:color w:val="000000"/>
                <w:kern w:val="0"/>
                <w:sz w:val="28"/>
                <w:szCs w:val="28"/>
                <w:u w:val="none"/>
                <w:lang w:val="en-US" w:eastAsia="zh-CN" w:bidi="ar"/>
              </w:rPr>
              <w:t>国际招标</w:t>
            </w:r>
          </w:p>
        </w:tc>
        <w:tc>
          <w:tcPr>
            <w:tcW w:w="3768" w:type="dxa"/>
            <w:tcBorders>
              <w:tl2br w:val="nil"/>
              <w:tr2bl w:val="nil"/>
            </w:tcBorders>
            <w:noWrap w:val="0"/>
            <w:vAlign w:val="center"/>
          </w:tcPr>
          <w:p w14:paraId="1DAA0134">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全部或部分使用国有资金投资项目中进行国际采购的机电产品、全部或部分使用国家融资项目中进行国际采购的机电产品、使用国外贷款、援助资金项目中进行国际采购的机电产品、政府采购项目中进行国际采购的机电产品、依照法律、法规和规章需要国际招标的其他机电产品。</w:t>
            </w:r>
          </w:p>
        </w:tc>
        <w:tc>
          <w:tcPr>
            <w:tcW w:w="1707" w:type="dxa"/>
            <w:tcBorders>
              <w:tl2br w:val="nil"/>
              <w:tr2bl w:val="nil"/>
            </w:tcBorders>
            <w:noWrap w:val="0"/>
            <w:vAlign w:val="center"/>
          </w:tcPr>
          <w:p w14:paraId="028E29B8">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Style w:val="6"/>
                <w:rFonts w:hint="eastAsia" w:ascii="仿宋_GB2312" w:hAnsi="仿宋_GB2312" w:eastAsia="仿宋_GB2312" w:cs="仿宋_GB2312"/>
                <w:sz w:val="28"/>
                <w:szCs w:val="28"/>
                <w:lang w:val="en-US" w:eastAsia="zh-CN" w:bidi="ar"/>
              </w:rPr>
            </w:pPr>
            <w:r>
              <w:rPr>
                <w:rStyle w:val="6"/>
                <w:rFonts w:hint="eastAsia" w:ascii="仿宋_GB2312" w:hAnsi="仿宋_GB2312" w:eastAsia="仿宋_GB2312" w:cs="仿宋_GB2312"/>
                <w:sz w:val="28"/>
                <w:szCs w:val="28"/>
                <w:lang w:val="en-US" w:eastAsia="zh-CN" w:bidi="ar"/>
              </w:rPr>
              <w:t>省级商务</w:t>
            </w:r>
          </w:p>
          <w:p w14:paraId="0E6FD8A1">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FF0000"/>
                <w:sz w:val="28"/>
                <w:szCs w:val="28"/>
                <w:u w:val="none"/>
              </w:rPr>
            </w:pPr>
            <w:r>
              <w:rPr>
                <w:rStyle w:val="6"/>
                <w:rFonts w:hint="eastAsia" w:ascii="仿宋_GB2312" w:hAnsi="仿宋_GB2312" w:eastAsia="仿宋_GB2312" w:cs="仿宋_GB2312"/>
                <w:sz w:val="28"/>
                <w:szCs w:val="28"/>
                <w:lang w:val="en-US" w:eastAsia="zh-CN" w:bidi="ar"/>
              </w:rPr>
              <w:t>部门</w:t>
            </w:r>
          </w:p>
        </w:tc>
        <w:tc>
          <w:tcPr>
            <w:tcW w:w="7380" w:type="dxa"/>
            <w:tcBorders>
              <w:tl2br w:val="nil"/>
              <w:tr2bl w:val="nil"/>
            </w:tcBorders>
            <w:noWrap w:val="0"/>
            <w:vAlign w:val="center"/>
          </w:tcPr>
          <w:p w14:paraId="18B593CA">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机电产品国际招标投标活动的行政监督和协调、招标机构的监督和管理、机电产品国际招标评标专家的日常管理。主要监管方式：1.依托商务部网站为机电产品国际招标投标活动提供公共服务和行政监督的平台（简称招标网），完成（机电产品国际招标投标在招标网完成招投标项目建档、招标过程文件存档和备案、资格预审公告发布、招标公告发布，评审专家抽取、评标结果公示、异议投诉、中标结果公告等招标投标活动等相关程序）全流程电子化监督；2.依法开展监督检查；3.建立健全投诉接收、转办、反馈工作机制，依法查处违法违规行为。</w:t>
            </w:r>
          </w:p>
        </w:tc>
        <w:tc>
          <w:tcPr>
            <w:tcW w:w="4798" w:type="dxa"/>
            <w:tcBorders>
              <w:tl2br w:val="nil"/>
              <w:tr2bl w:val="nil"/>
            </w:tcBorders>
            <w:noWrap w:val="0"/>
            <w:vAlign w:val="center"/>
          </w:tcPr>
          <w:p w14:paraId="43B8B217">
            <w:pPr>
              <w:keepNext w:val="0"/>
              <w:keepLines w:val="0"/>
              <w:pageBreakBefore w:val="0"/>
              <w:widowControl/>
              <w:suppressLineNumbers w:val="0"/>
              <w:kinsoku/>
              <w:wordWrap/>
              <w:overflowPunct/>
              <w:topLinePunct w:val="0"/>
              <w:bidi w:val="0"/>
              <w:adjustRightInd/>
              <w:snapToGrid/>
              <w:spacing w:line="52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《机电产品国际招投标实施办法(试行)》《机电产品国际招标投标“双随机一公开”监管工作细则》《机电产品国际招标代理机构监督管理办法（试行）》等</w:t>
            </w:r>
          </w:p>
        </w:tc>
      </w:tr>
      <w:tr w14:paraId="44AC3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rPr>
        <w:tc>
          <w:tcPr>
            <w:tcW w:w="19740" w:type="dxa"/>
            <w:gridSpan w:val="6"/>
            <w:tcBorders>
              <w:tl2br w:val="nil"/>
              <w:tr2bl w:val="nil"/>
            </w:tcBorders>
            <w:noWrap w:val="0"/>
            <w:vAlign w:val="center"/>
          </w:tcPr>
          <w:p w14:paraId="5C594E4F">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楷体_GB2312" w:hAnsi="楷体_GB2312" w:eastAsia="楷体_GB2312" w:cs="楷体_GB2312"/>
                <w:i w:val="0"/>
                <w:iCs w:val="0"/>
                <w:color w:val="000000"/>
                <w:sz w:val="28"/>
                <w:szCs w:val="28"/>
                <w:u w:val="none"/>
              </w:rPr>
            </w:pPr>
            <w:r>
              <w:rPr>
                <w:rFonts w:hint="eastAsia" w:ascii="楷体_GB2312" w:hAnsi="楷体_GB2312" w:eastAsia="楷体_GB2312" w:cs="楷体_GB2312"/>
                <w:i w:val="0"/>
                <w:iCs w:val="0"/>
                <w:color w:val="000000"/>
                <w:kern w:val="0"/>
                <w:sz w:val="28"/>
                <w:szCs w:val="28"/>
                <w:u w:val="none"/>
                <w:lang w:val="en-US" w:eastAsia="zh-CN" w:bidi="ar"/>
              </w:rPr>
              <w:t>四、国有企业采购类（D类）</w:t>
            </w:r>
          </w:p>
        </w:tc>
      </w:tr>
      <w:tr w14:paraId="5EA11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0" w:hRule="atLeast"/>
        </w:trPr>
        <w:tc>
          <w:tcPr>
            <w:tcW w:w="737" w:type="dxa"/>
            <w:vMerge w:val="restart"/>
            <w:tcBorders>
              <w:tl2br w:val="nil"/>
              <w:tr2bl w:val="nil"/>
            </w:tcBorders>
            <w:noWrap w:val="0"/>
            <w:vAlign w:val="center"/>
          </w:tcPr>
          <w:p w14:paraId="47B4429D">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D01</w:t>
            </w:r>
          </w:p>
        </w:tc>
        <w:tc>
          <w:tcPr>
            <w:tcW w:w="1350" w:type="dxa"/>
            <w:vMerge w:val="restart"/>
            <w:tcBorders>
              <w:tl2br w:val="nil"/>
              <w:tr2bl w:val="nil"/>
            </w:tcBorders>
            <w:noWrap w:val="0"/>
            <w:vAlign w:val="center"/>
          </w:tcPr>
          <w:p w14:paraId="0E96D56F">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国有企业</w:t>
            </w:r>
            <w:r>
              <w:rPr>
                <w:rFonts w:hint="eastAsia" w:ascii="仿宋_GB2312" w:hAnsi="仿宋_GB2312" w:eastAsia="仿宋_GB2312" w:cs="仿宋_GB2312"/>
                <w:i w:val="0"/>
                <w:iCs w:val="0"/>
                <w:color w:val="000000"/>
                <w:kern w:val="0"/>
                <w:sz w:val="28"/>
                <w:szCs w:val="28"/>
                <w:u w:val="none"/>
                <w:lang w:val="en-US" w:eastAsia="zh-CN" w:bidi="ar"/>
              </w:rPr>
              <w:br w:type="textWrapping"/>
            </w:r>
            <w:r>
              <w:rPr>
                <w:rFonts w:hint="eastAsia" w:ascii="仿宋_GB2312" w:hAnsi="仿宋_GB2312" w:eastAsia="仿宋_GB2312" w:cs="仿宋_GB2312"/>
                <w:i w:val="0"/>
                <w:iCs w:val="0"/>
                <w:color w:val="000000"/>
                <w:kern w:val="0"/>
                <w:sz w:val="28"/>
                <w:szCs w:val="28"/>
                <w:u w:val="none"/>
                <w:lang w:val="en-US" w:eastAsia="zh-CN" w:bidi="ar"/>
              </w:rPr>
              <w:t>采购</w:t>
            </w:r>
          </w:p>
        </w:tc>
        <w:tc>
          <w:tcPr>
            <w:tcW w:w="3768" w:type="dxa"/>
            <w:tcBorders>
              <w:tl2br w:val="nil"/>
              <w:tr2bl w:val="nil"/>
            </w:tcBorders>
            <w:noWrap w:val="0"/>
            <w:vAlign w:val="center"/>
          </w:tcPr>
          <w:p w14:paraId="39CD91BD">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省级国有资产部门负责指导所出资的国有企业的采购项目招标活动</w:t>
            </w:r>
          </w:p>
        </w:tc>
        <w:tc>
          <w:tcPr>
            <w:tcW w:w="1707" w:type="dxa"/>
            <w:tcBorders>
              <w:tl2br w:val="nil"/>
              <w:tr2bl w:val="nil"/>
            </w:tcBorders>
            <w:noWrap w:val="0"/>
            <w:vAlign w:val="center"/>
          </w:tcPr>
          <w:p w14:paraId="41C58F93">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省国资委负责有关企业大宗物资采购活动的出资人监督。市、县（区）国资部门自行制定国有企业采购有关规范。</w:t>
            </w:r>
          </w:p>
        </w:tc>
        <w:tc>
          <w:tcPr>
            <w:tcW w:w="7380" w:type="dxa"/>
            <w:tcBorders>
              <w:tl2br w:val="nil"/>
              <w:tr2bl w:val="nil"/>
            </w:tcBorders>
            <w:noWrap w:val="0"/>
            <w:vAlign w:val="center"/>
          </w:tcPr>
          <w:p w14:paraId="3113BC23">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指导所出资企业落实主体责任，完善并落实大宗物资采购管理工作制度。主要采用方式：所出资企业通过审计、纪检监督等方式，加强物资采购和供应商管理等方面的监督和稽查，对采购计划的制定，招标、开标、评标、定标，谈判、询价、合同签订、履行，物资进厂检验、复检，入库，资金支付结算等进行监督。</w:t>
            </w:r>
          </w:p>
        </w:tc>
        <w:tc>
          <w:tcPr>
            <w:tcW w:w="4798" w:type="dxa"/>
            <w:tcBorders>
              <w:tl2br w:val="nil"/>
              <w:tr2bl w:val="nil"/>
            </w:tcBorders>
            <w:noWrap w:val="0"/>
            <w:vAlign w:val="center"/>
          </w:tcPr>
          <w:p w14:paraId="16B8B0F9">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主要按照国资部门大宗物资采购有关规定执行</w:t>
            </w:r>
          </w:p>
        </w:tc>
      </w:tr>
      <w:tr w14:paraId="19129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0" w:hRule="atLeast"/>
        </w:trPr>
        <w:tc>
          <w:tcPr>
            <w:tcW w:w="737" w:type="dxa"/>
            <w:vMerge w:val="continue"/>
            <w:tcBorders>
              <w:tl2br w:val="nil"/>
              <w:tr2bl w:val="nil"/>
            </w:tcBorders>
            <w:noWrap w:val="0"/>
            <w:vAlign w:val="center"/>
          </w:tcPr>
          <w:p w14:paraId="5F37F8CC">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1350" w:type="dxa"/>
            <w:vMerge w:val="continue"/>
            <w:tcBorders>
              <w:tl2br w:val="nil"/>
              <w:tr2bl w:val="nil"/>
            </w:tcBorders>
            <w:noWrap w:val="0"/>
            <w:vAlign w:val="center"/>
          </w:tcPr>
          <w:p w14:paraId="0F427192">
            <w:pPr>
              <w:keepNext w:val="0"/>
              <w:keepLines w:val="0"/>
              <w:pageBreakBefore w:val="0"/>
              <w:widowControl/>
              <w:kinsoku/>
              <w:wordWrap/>
              <w:overflowPunct/>
              <w:topLinePunct w:val="0"/>
              <w:bidi w:val="0"/>
              <w:adjustRightInd/>
              <w:snapToGrid/>
              <w:spacing w:line="520" w:lineRule="exact"/>
              <w:jc w:val="center"/>
              <w:rPr>
                <w:rFonts w:hint="eastAsia" w:ascii="仿宋_GB2312" w:hAnsi="仿宋_GB2312" w:eastAsia="仿宋_GB2312" w:cs="仿宋_GB2312"/>
                <w:i w:val="0"/>
                <w:iCs w:val="0"/>
                <w:color w:val="000000"/>
                <w:sz w:val="28"/>
                <w:szCs w:val="28"/>
                <w:u w:val="none"/>
              </w:rPr>
            </w:pPr>
          </w:p>
        </w:tc>
        <w:tc>
          <w:tcPr>
            <w:tcW w:w="3768" w:type="dxa"/>
            <w:tcBorders>
              <w:tl2br w:val="nil"/>
              <w:tr2bl w:val="nil"/>
            </w:tcBorders>
            <w:noWrap w:val="0"/>
            <w:vAlign w:val="center"/>
          </w:tcPr>
          <w:p w14:paraId="07F19E22">
            <w:pPr>
              <w:keepNext w:val="0"/>
              <w:keepLines w:val="0"/>
              <w:pageBreakBefore w:val="0"/>
              <w:widowControl/>
              <w:suppressLineNumbers w:val="0"/>
              <w:kinsoku/>
              <w:wordWrap/>
              <w:overflowPunct/>
              <w:topLinePunct w:val="0"/>
              <w:bidi w:val="0"/>
              <w:adjustRightInd/>
              <w:snapToGrid/>
              <w:spacing w:line="520" w:lineRule="exact"/>
              <w:ind w:left="0" w:leftChars="0" w:firstLine="560" w:firstLineChars="20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省级财政部门负责指导所出资的国有企业的采购项目招标活动</w:t>
            </w:r>
          </w:p>
        </w:tc>
        <w:tc>
          <w:tcPr>
            <w:tcW w:w="1707" w:type="dxa"/>
            <w:tcBorders>
              <w:tl2br w:val="nil"/>
              <w:tr2bl w:val="nil"/>
            </w:tcBorders>
            <w:noWrap w:val="0"/>
            <w:vAlign w:val="center"/>
          </w:tcPr>
          <w:p w14:paraId="19794F15">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省、市、县财政部门各负责对所出资的金融企业进行财会监督。</w:t>
            </w:r>
          </w:p>
        </w:tc>
        <w:tc>
          <w:tcPr>
            <w:tcW w:w="7380" w:type="dxa"/>
            <w:tcBorders>
              <w:tl2br w:val="nil"/>
              <w:tr2bl w:val="nil"/>
            </w:tcBorders>
            <w:noWrap w:val="0"/>
            <w:vAlign w:val="center"/>
          </w:tcPr>
          <w:p w14:paraId="38BBDA44">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负责有关金融企业财会监督，开展日常管理，依法实施财会监督检查。</w:t>
            </w:r>
          </w:p>
        </w:tc>
        <w:tc>
          <w:tcPr>
            <w:tcW w:w="4798" w:type="dxa"/>
            <w:tcBorders>
              <w:tl2br w:val="nil"/>
              <w:tr2bl w:val="nil"/>
            </w:tcBorders>
            <w:noWrap w:val="0"/>
            <w:vAlign w:val="center"/>
          </w:tcPr>
          <w:p w14:paraId="25F37FD7">
            <w:pPr>
              <w:keepNext w:val="0"/>
              <w:keepLines w:val="0"/>
              <w:pageBreakBefore w:val="0"/>
              <w:widowControl/>
              <w:suppressLineNumbers w:val="0"/>
              <w:kinsoku/>
              <w:wordWrap/>
              <w:overflowPunct/>
              <w:topLinePunct w:val="0"/>
              <w:bidi w:val="0"/>
              <w:adjustRightInd/>
              <w:snapToGrid/>
              <w:spacing w:line="520" w:lineRule="exact"/>
              <w:jc w:val="both"/>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主要依据《国有金融企业集中采购管理暂行规定》</w:t>
            </w:r>
          </w:p>
        </w:tc>
      </w:tr>
      <w:tr w14:paraId="09EBA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60" w:hRule="atLeast"/>
        </w:trPr>
        <w:tc>
          <w:tcPr>
            <w:tcW w:w="19740" w:type="dxa"/>
            <w:gridSpan w:val="6"/>
            <w:tcBorders>
              <w:tl2br w:val="nil"/>
              <w:tr2bl w:val="nil"/>
            </w:tcBorders>
            <w:noWrap w:val="0"/>
            <w:vAlign w:val="center"/>
          </w:tcPr>
          <w:p w14:paraId="4C3BE183">
            <w:pPr>
              <w:keepNext w:val="0"/>
              <w:keepLines w:val="0"/>
              <w:pageBreakBefore w:val="0"/>
              <w:widowControl/>
              <w:suppressLineNumbers w:val="0"/>
              <w:kinsoku/>
              <w:wordWrap/>
              <w:overflowPunct/>
              <w:topLinePunct w:val="0"/>
              <w:bidi w:val="0"/>
              <w:adjustRightInd/>
              <w:snapToGrid/>
              <w:spacing w:line="520" w:lineRule="exact"/>
              <w:ind w:left="0" w:leftChars="0" w:firstLine="0" w:firstLineChars="0"/>
              <w:jc w:val="left"/>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说明：</w:t>
            </w:r>
            <w:r>
              <w:rPr>
                <w:rStyle w:val="6"/>
                <w:rFonts w:hint="eastAsia" w:ascii="仿宋_GB2312" w:hAnsi="仿宋_GB2312" w:eastAsia="仿宋_GB2312" w:cs="仿宋_GB2312"/>
                <w:sz w:val="28"/>
                <w:szCs w:val="28"/>
                <w:lang w:val="en-US" w:eastAsia="zh-CN" w:bidi="ar"/>
              </w:rPr>
              <w:br w:type="textWrapping"/>
            </w:r>
            <w:r>
              <w:rPr>
                <w:rStyle w:val="6"/>
                <w:rFonts w:hint="eastAsia" w:ascii="仿宋_GB2312" w:hAnsi="仿宋_GB2312" w:eastAsia="仿宋_GB2312" w:cs="仿宋_GB2312"/>
                <w:sz w:val="28"/>
                <w:szCs w:val="28"/>
                <w:lang w:val="en-US" w:eastAsia="zh-CN" w:bidi="ar"/>
              </w:rPr>
              <w:t>1、依法必须招标的工程建设项目，按照分级管理原则，分别进入省、县市公共资源交易中心交易。公共资源交易项目按行业归口监管的原则，由各行业主管部门实施监管，按照本清单明确的部门履行行政监督职责，县级以上地方人民政府对其所属部门有关公共资源交易活动的监督职责分工另有规定的，从其规定。</w:t>
            </w:r>
            <w:r>
              <w:rPr>
                <w:rStyle w:val="6"/>
                <w:rFonts w:hint="eastAsia" w:ascii="仿宋_GB2312" w:hAnsi="仿宋_GB2312" w:eastAsia="仿宋_GB2312" w:cs="仿宋_GB2312"/>
                <w:sz w:val="28"/>
                <w:szCs w:val="28"/>
                <w:lang w:val="en-US" w:eastAsia="zh-CN" w:bidi="ar"/>
              </w:rPr>
              <w:br w:type="textWrapping"/>
            </w:r>
            <w:r>
              <w:rPr>
                <w:rStyle w:val="6"/>
                <w:rFonts w:hint="eastAsia" w:ascii="仿宋_GB2312" w:hAnsi="仿宋_GB2312" w:eastAsia="仿宋_GB2312" w:cs="仿宋_GB2312"/>
                <w:sz w:val="28"/>
                <w:szCs w:val="28"/>
                <w:lang w:val="en-US" w:eastAsia="zh-CN" w:bidi="ar"/>
              </w:rPr>
              <w:t>2、工程类项目范围包括：①依法必须招标的各类建设项目（含新建、改建、扩建及其相关的装修、拆除、维修等）的勘察、设计、施工、监理；②与上述工程建设有关的重要设备和材料等采购。</w:t>
            </w:r>
            <w:r>
              <w:rPr>
                <w:rStyle w:val="6"/>
                <w:rFonts w:hint="eastAsia" w:ascii="仿宋_GB2312" w:hAnsi="仿宋_GB2312" w:eastAsia="仿宋_GB2312" w:cs="仿宋_GB2312"/>
                <w:sz w:val="28"/>
                <w:szCs w:val="28"/>
                <w:lang w:val="en-US" w:eastAsia="zh-CN" w:bidi="ar"/>
              </w:rPr>
              <w:br w:type="textWrapping"/>
            </w:r>
            <w:r>
              <w:rPr>
                <w:rStyle w:val="6"/>
                <w:rFonts w:hint="eastAsia" w:ascii="仿宋_GB2312" w:hAnsi="仿宋_GB2312" w:eastAsia="仿宋_GB2312" w:cs="仿宋_GB2312"/>
                <w:sz w:val="28"/>
                <w:szCs w:val="28"/>
                <w:lang w:val="en-US" w:eastAsia="zh-CN" w:bidi="ar"/>
              </w:rPr>
              <w:t>3、中央企业和地方国有企业在琼投资的各类建设项目按照国家和省政府有关规定执行；</w:t>
            </w:r>
            <w:r>
              <w:rPr>
                <w:rStyle w:val="6"/>
                <w:rFonts w:hint="eastAsia" w:ascii="仿宋_GB2312" w:hAnsi="仿宋_GB2312" w:eastAsia="仿宋_GB2312" w:cs="仿宋_GB2312"/>
                <w:sz w:val="28"/>
                <w:szCs w:val="28"/>
                <w:lang w:val="en-US" w:eastAsia="zh-CN" w:bidi="ar"/>
              </w:rPr>
              <w:br w:type="textWrapping"/>
            </w:r>
            <w:r>
              <w:rPr>
                <w:rStyle w:val="6"/>
                <w:rFonts w:hint="eastAsia" w:ascii="仿宋_GB2312" w:hAnsi="仿宋_GB2312" w:eastAsia="仿宋_GB2312" w:cs="仿宋_GB2312"/>
                <w:sz w:val="28"/>
                <w:szCs w:val="28"/>
                <w:lang w:val="en-US" w:eastAsia="zh-CN" w:bidi="ar"/>
              </w:rPr>
              <w:t>4、涉及道路交通、铁路运输等安全的建筑、公路、水利、能源等工程，按照主体工程所属行业，由相关行业主管部门履行行政监督职责。</w:t>
            </w:r>
            <w:r>
              <w:rPr>
                <w:rStyle w:val="6"/>
                <w:rFonts w:hint="eastAsia" w:ascii="仿宋_GB2312" w:hAnsi="仿宋_GB2312" w:eastAsia="仿宋_GB2312" w:cs="仿宋_GB2312"/>
                <w:sz w:val="28"/>
                <w:szCs w:val="28"/>
                <w:lang w:val="en-US" w:eastAsia="zh-CN" w:bidi="ar"/>
              </w:rPr>
              <w:br w:type="textWrapping"/>
            </w:r>
            <w:r>
              <w:rPr>
                <w:rStyle w:val="6"/>
                <w:rFonts w:hint="eastAsia" w:ascii="仿宋_GB2312" w:hAnsi="仿宋_GB2312" w:eastAsia="仿宋_GB2312" w:cs="仿宋_GB2312"/>
                <w:sz w:val="28"/>
                <w:szCs w:val="28"/>
                <w:lang w:val="en-US" w:eastAsia="zh-CN" w:bidi="ar"/>
              </w:rPr>
              <w:t>5、特殊项目需进入全省各级公共资源交易中心交易的，按照分级管理原则，由项目业主申请，并明确行政监督部门及监督职责，经行政监督部门书面认可后可进场交易。法律法规另有规定的，从其规定。</w:t>
            </w:r>
            <w:r>
              <w:rPr>
                <w:rStyle w:val="6"/>
                <w:rFonts w:hint="eastAsia" w:ascii="仿宋_GB2312" w:hAnsi="仿宋_GB2312" w:eastAsia="仿宋_GB2312" w:cs="仿宋_GB2312"/>
                <w:sz w:val="28"/>
                <w:szCs w:val="28"/>
                <w:lang w:val="en-US" w:eastAsia="zh-CN" w:bidi="ar"/>
              </w:rPr>
              <w:br w:type="textWrapping"/>
            </w:r>
            <w:r>
              <w:rPr>
                <w:rStyle w:val="6"/>
                <w:rFonts w:hint="eastAsia" w:ascii="仿宋_GB2312" w:hAnsi="仿宋_GB2312" w:eastAsia="仿宋_GB2312" w:cs="仿宋_GB2312"/>
                <w:sz w:val="28"/>
                <w:szCs w:val="28"/>
                <w:lang w:val="en-US" w:eastAsia="zh-CN" w:bidi="ar"/>
              </w:rPr>
              <w:t>6、存在项目有多个监管部门联合监管的，应当明确牵头行政监督部门及联合监督职责后可进场交易。法律法规另有规定的，从其规定。</w:t>
            </w:r>
          </w:p>
        </w:tc>
      </w:tr>
    </w:tbl>
    <w:p w14:paraId="780862BB">
      <w:pPr>
        <w:ind w:left="0" w:leftChars="0" w:firstLine="0" w:firstLineChars="0"/>
        <w:rPr>
          <w:rFonts w:hint="eastAsia" w:ascii="黑体" w:hAnsi="黑体" w:eastAsia="黑体" w:cs="黑体"/>
          <w:sz w:val="32"/>
          <w:szCs w:val="32"/>
          <w:lang w:eastAsia="zh-CN"/>
        </w:rPr>
      </w:pPr>
    </w:p>
    <w:sectPr>
      <w:footerReference r:id="rId5" w:type="default"/>
      <w:pgSz w:w="23811" w:h="16837" w:orient="landscape"/>
      <w:pgMar w:top="1587" w:right="2098" w:bottom="1474" w:left="1984"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CESI小标宋-GB2312">
    <w:altName w:val="宋体"/>
    <w:panose1 w:val="02000500000000000000"/>
    <w:charset w:val="86"/>
    <w:family w:val="auto"/>
    <w:pitch w:val="default"/>
    <w:sig w:usb0="800002AF" w:usb1="084F6CF8" w:usb2="00000010" w:usb3="00000000" w:csb0="0004000F" w:csb1="00000000"/>
  </w:font>
  <w:font w:name="楷体_GB2312">
    <w:altName w:val="楷体"/>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E3B0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2AE71A">
                          <w:pPr>
                            <w:pStyle w:val="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12AE71A">
                    <w:pPr>
                      <w:pStyle w:val="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F76DD0"/>
    <w:rsid w:val="1DFDC1D3"/>
    <w:rsid w:val="2D5EC45E"/>
    <w:rsid w:val="35560FAE"/>
    <w:rsid w:val="3CAF7AAE"/>
    <w:rsid w:val="3E2FF0E2"/>
    <w:rsid w:val="3E9585B8"/>
    <w:rsid w:val="3EF68052"/>
    <w:rsid w:val="3F8FAC5F"/>
    <w:rsid w:val="3FBB2077"/>
    <w:rsid w:val="3FF76A81"/>
    <w:rsid w:val="3FFB6D25"/>
    <w:rsid w:val="3FFF500B"/>
    <w:rsid w:val="4767414E"/>
    <w:rsid w:val="4EFF5D0E"/>
    <w:rsid w:val="4FEF2BB1"/>
    <w:rsid w:val="52BDD2D9"/>
    <w:rsid w:val="54CEBAD9"/>
    <w:rsid w:val="58DF354F"/>
    <w:rsid w:val="59E6B98A"/>
    <w:rsid w:val="59FF0FC7"/>
    <w:rsid w:val="5BF7D68C"/>
    <w:rsid w:val="5D9538A6"/>
    <w:rsid w:val="5E245764"/>
    <w:rsid w:val="5ECFACC9"/>
    <w:rsid w:val="5FBF9583"/>
    <w:rsid w:val="5FD78BB6"/>
    <w:rsid w:val="5FFB32C3"/>
    <w:rsid w:val="6773FC27"/>
    <w:rsid w:val="686E582D"/>
    <w:rsid w:val="68C21479"/>
    <w:rsid w:val="6BFE41B9"/>
    <w:rsid w:val="6F759756"/>
    <w:rsid w:val="6FECD0A9"/>
    <w:rsid w:val="6FEFFA83"/>
    <w:rsid w:val="6FF69826"/>
    <w:rsid w:val="6FFF9668"/>
    <w:rsid w:val="713898C8"/>
    <w:rsid w:val="75FC41F4"/>
    <w:rsid w:val="75FEABA8"/>
    <w:rsid w:val="76CFDD5C"/>
    <w:rsid w:val="76F7AF92"/>
    <w:rsid w:val="775FC4F1"/>
    <w:rsid w:val="776FA42E"/>
    <w:rsid w:val="77BB8A4B"/>
    <w:rsid w:val="7874C14A"/>
    <w:rsid w:val="798F171B"/>
    <w:rsid w:val="799A28CE"/>
    <w:rsid w:val="79A0CC0D"/>
    <w:rsid w:val="79F56194"/>
    <w:rsid w:val="7A774320"/>
    <w:rsid w:val="7BFF002F"/>
    <w:rsid w:val="7D4FB003"/>
    <w:rsid w:val="7DBF0137"/>
    <w:rsid w:val="7DC7FC4D"/>
    <w:rsid w:val="7DFEC5E8"/>
    <w:rsid w:val="7DFF5F34"/>
    <w:rsid w:val="7E50C586"/>
    <w:rsid w:val="7E8BB8A1"/>
    <w:rsid w:val="7F7EFC69"/>
    <w:rsid w:val="7F7F12A5"/>
    <w:rsid w:val="7FE32ADA"/>
    <w:rsid w:val="7FFBA38F"/>
    <w:rsid w:val="7FFF63A2"/>
    <w:rsid w:val="7FFF712C"/>
    <w:rsid w:val="8DF15223"/>
    <w:rsid w:val="9D3F9CDC"/>
    <w:rsid w:val="9DAF33B7"/>
    <w:rsid w:val="9FFF85B8"/>
    <w:rsid w:val="ADFFD46F"/>
    <w:rsid w:val="AFB6B2AE"/>
    <w:rsid w:val="B3ADC339"/>
    <w:rsid w:val="B7FF0D0B"/>
    <w:rsid w:val="BBEF2652"/>
    <w:rsid w:val="BBFEBE9B"/>
    <w:rsid w:val="BCFF6ECB"/>
    <w:rsid w:val="BD3CDC0F"/>
    <w:rsid w:val="BEC66779"/>
    <w:rsid w:val="BEFF4020"/>
    <w:rsid w:val="BF9F0F52"/>
    <w:rsid w:val="BFEB03E4"/>
    <w:rsid w:val="BFFDFEC9"/>
    <w:rsid w:val="BFFF6C64"/>
    <w:rsid w:val="CE7F0279"/>
    <w:rsid w:val="D4EACA88"/>
    <w:rsid w:val="DA7F0256"/>
    <w:rsid w:val="DBBCC544"/>
    <w:rsid w:val="DBDCA8BE"/>
    <w:rsid w:val="DBFB30F9"/>
    <w:rsid w:val="DDEEE6E6"/>
    <w:rsid w:val="DED72D06"/>
    <w:rsid w:val="DEFDB5D0"/>
    <w:rsid w:val="DF3A21E4"/>
    <w:rsid w:val="DFB1A57E"/>
    <w:rsid w:val="DFFAA1D0"/>
    <w:rsid w:val="DFFB894A"/>
    <w:rsid w:val="DFFFA88C"/>
    <w:rsid w:val="E4EF0AF0"/>
    <w:rsid w:val="E5961009"/>
    <w:rsid w:val="E5CF213F"/>
    <w:rsid w:val="E7F3ED59"/>
    <w:rsid w:val="E9BF11D4"/>
    <w:rsid w:val="EBAB99A0"/>
    <w:rsid w:val="EBD7C1D3"/>
    <w:rsid w:val="ECBFDE61"/>
    <w:rsid w:val="EDFE45FD"/>
    <w:rsid w:val="EE5D7956"/>
    <w:rsid w:val="EE8F0354"/>
    <w:rsid w:val="EEEF6281"/>
    <w:rsid w:val="EFBF5490"/>
    <w:rsid w:val="EFEE551F"/>
    <w:rsid w:val="F1E99985"/>
    <w:rsid w:val="F5FA3A9A"/>
    <w:rsid w:val="F6CAE0CA"/>
    <w:rsid w:val="F7DEB13F"/>
    <w:rsid w:val="F7EC59C8"/>
    <w:rsid w:val="F7EE65FB"/>
    <w:rsid w:val="F957B99E"/>
    <w:rsid w:val="F97DD623"/>
    <w:rsid w:val="F9FF2B74"/>
    <w:rsid w:val="FB79550D"/>
    <w:rsid w:val="FBFBBC3C"/>
    <w:rsid w:val="FDBBE851"/>
    <w:rsid w:val="FF1FDD52"/>
    <w:rsid w:val="FF2E4939"/>
    <w:rsid w:val="FF3F831C"/>
    <w:rsid w:val="FF8BFAFA"/>
    <w:rsid w:val="FFDE7D83"/>
    <w:rsid w:val="FFE9EC31"/>
    <w:rsid w:val="FFF71964"/>
    <w:rsid w:val="FFF7AD3F"/>
    <w:rsid w:val="FFFE7D46"/>
    <w:rsid w:val="FFFF3F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560" w:lineRule="exact"/>
      <w:ind w:left="0" w:right="0" w:firstLine="1175" w:firstLineChars="200"/>
      <w:jc w:val="left"/>
    </w:pPr>
    <w:rPr>
      <w:rFonts w:ascii="宋体" w:hAnsi="宋体" w:eastAsia="仿宋" w:cs="仿宋"/>
      <w:sz w:val="32"/>
      <w:szCs w:val="32"/>
      <w:lang w:val="zh-CN" w:eastAsia="zh-CN" w:bidi="zh-CN"/>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31"/>
    <w:basedOn w:val="5"/>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6090</Words>
  <Characters>6189</Characters>
  <Lines>0</Lines>
  <Paragraphs>0</Paragraphs>
  <TotalTime>15.3333333333333</TotalTime>
  <ScaleCrop>false</ScaleCrop>
  <LinksUpToDate>false</LinksUpToDate>
  <CharactersWithSpaces>6189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2024-08-03T10:01:00Z</dcterms:created>
  <dc:creator>fgw</dc:creator>
  <cp:lastModifiedBy>宋裕雄</cp:lastModifiedBy>
  <dcterms:modified xsi:type="dcterms:W3CDTF">2026-09-17T02:10:59Z</dcterms:modified>
  <dc:title>附件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1A09FD11B0474D01812302CC88BC4D7C_13</vt:lpwstr>
  </property>
</Properties>
</file>